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323D" w:rsidRDefault="00DF0C7C">
      <w:pPr>
        <w:pStyle w:val="af4"/>
        <w:tabs>
          <w:tab w:val="left" w:pos="8190"/>
        </w:tabs>
        <w:spacing w:after="0" w:afterAutospacing="0"/>
        <w:rPr>
          <w:rFonts w:ascii="Times New Roman" w:hAnsi="Times New Roman"/>
          <w:iCs/>
          <w:sz w:val="28"/>
          <w:szCs w:val="28"/>
          <w:highlight w:val="yellow"/>
          <w:lang w:val="en-US"/>
        </w:rPr>
      </w:pPr>
      <w:bookmarkStart w:id="0" w:name="OLE_LINK3"/>
      <w:r>
        <w:rPr>
          <w:rFonts w:ascii="Times New Roman" w:eastAsia="ＭＳ ゴシック" w:hAnsi="Times New Roman"/>
          <w:sz w:val="28"/>
          <w:szCs w:val="28"/>
          <w:lang w:val="en-US"/>
        </w:rPr>
        <w:t>3GPP TSG RAN WG1#104b-e</w:t>
      </w:r>
      <w:r>
        <w:rPr>
          <w:rFonts w:ascii="Times New Roman" w:eastAsia="ＭＳ ゴシック" w:hAnsi="Times New Roman"/>
          <w:sz w:val="28"/>
          <w:szCs w:val="28"/>
          <w:lang w:val="en-US"/>
        </w:rPr>
        <w:tab/>
      </w:r>
      <w:r w:rsidR="006C70D2" w:rsidRPr="006C70D2">
        <w:rPr>
          <w:rFonts w:ascii="Times New Roman" w:eastAsia="ＭＳ ゴシック" w:hAnsi="Times New Roman"/>
          <w:sz w:val="28"/>
          <w:szCs w:val="28"/>
          <w:lang w:val="en-US"/>
        </w:rPr>
        <w:t>R1-2103472</w:t>
      </w:r>
      <w:bookmarkStart w:id="1" w:name="_GoBack"/>
      <w:bookmarkEnd w:id="1"/>
    </w:p>
    <w:bookmarkEnd w:id="0"/>
    <w:p w:rsidR="00D83C1E" w:rsidRPr="00595AF2" w:rsidRDefault="00D83C1E" w:rsidP="00D83C1E">
      <w:pPr>
        <w:pStyle w:val="af4"/>
        <w:tabs>
          <w:tab w:val="right" w:pos="9072"/>
          <w:tab w:val="right" w:pos="10206"/>
        </w:tabs>
        <w:spacing w:after="0" w:afterAutospacing="0"/>
        <w:rPr>
          <w:rFonts w:ascii="Times New Roman" w:eastAsia="SimSun" w:hAnsi="Times New Roman"/>
          <w:sz w:val="28"/>
          <w:szCs w:val="28"/>
          <w:lang w:val="en-US" w:eastAsia="zh-CN"/>
        </w:rPr>
      </w:pPr>
      <w:r>
        <w:rPr>
          <w:rFonts w:ascii="Times New Roman" w:eastAsia="SimSun" w:hAnsi="Times New Roman"/>
          <w:sz w:val="28"/>
          <w:szCs w:val="28"/>
          <w:lang w:val="en-US" w:eastAsia="zh-CN"/>
        </w:rPr>
        <w:t>e-Meeting</w:t>
      </w:r>
      <w:r w:rsidRPr="00595AF2">
        <w:rPr>
          <w:rFonts w:ascii="Times New Roman" w:eastAsia="SimSun" w:hAnsi="Times New Roman"/>
          <w:sz w:val="28"/>
          <w:szCs w:val="28"/>
          <w:lang w:val="en-US" w:eastAsia="zh-CN"/>
        </w:rPr>
        <w:t xml:space="preserve">, </w:t>
      </w:r>
      <w:r w:rsidRPr="00137596">
        <w:rPr>
          <w:rFonts w:ascii="Times New Roman" w:eastAsia="SimSun" w:hAnsi="Times New Roman"/>
          <w:sz w:val="28"/>
          <w:szCs w:val="28"/>
          <w:lang w:val="en-US" w:eastAsia="zh-CN"/>
        </w:rPr>
        <w:t>April 12th – April 20th, 2021</w:t>
      </w:r>
    </w:p>
    <w:p w:rsidR="00A6323D" w:rsidRPr="00D83C1E" w:rsidRDefault="00A6323D">
      <w:pPr>
        <w:pStyle w:val="af4"/>
        <w:tabs>
          <w:tab w:val="right" w:pos="10206"/>
        </w:tabs>
        <w:spacing w:after="0" w:afterAutospacing="0"/>
        <w:rPr>
          <w:rFonts w:ascii="Times New Roman" w:eastAsia="ＭＳ ゴシック" w:hAnsi="Times New Roman"/>
          <w:sz w:val="28"/>
          <w:szCs w:val="28"/>
          <w:lang w:val="en-US"/>
        </w:rPr>
      </w:pPr>
    </w:p>
    <w:p w:rsidR="00A6323D" w:rsidRDefault="00DF0C7C">
      <w:pPr>
        <w:tabs>
          <w:tab w:val="left" w:pos="1985"/>
        </w:tabs>
        <w:spacing w:after="0" w:afterAutospacing="0"/>
        <w:ind w:left="1985" w:hangingChars="706" w:hanging="1985"/>
        <w:rPr>
          <w:rFonts w:eastAsia="ＭＳ 明朝"/>
          <w:b/>
          <w:sz w:val="28"/>
          <w:szCs w:val="28"/>
          <w:lang w:val="en-US"/>
        </w:rPr>
      </w:pPr>
      <w:bookmarkStart w:id="2" w:name="_Ref133120545"/>
      <w:r>
        <w:rPr>
          <w:b/>
          <w:sz w:val="28"/>
          <w:szCs w:val="28"/>
          <w:lang w:val="en-US"/>
        </w:rPr>
        <w:t>Source:</w:t>
      </w:r>
      <w:r>
        <w:rPr>
          <w:b/>
          <w:sz w:val="28"/>
          <w:szCs w:val="28"/>
          <w:lang w:val="en-US"/>
        </w:rPr>
        <w:tab/>
        <w:t>S</w:t>
      </w:r>
      <w:r>
        <w:rPr>
          <w:rFonts w:eastAsia="ＭＳ 明朝"/>
          <w:b/>
          <w:sz w:val="28"/>
          <w:szCs w:val="28"/>
          <w:lang w:val="en-US"/>
        </w:rPr>
        <w:t>harp</w:t>
      </w:r>
    </w:p>
    <w:p w:rsidR="00A6323D" w:rsidRDefault="00DF0C7C">
      <w:pPr>
        <w:spacing w:after="0" w:afterAutospacing="0"/>
        <w:ind w:left="1985" w:hangingChars="706" w:hanging="1985"/>
        <w:rPr>
          <w:rFonts w:eastAsia="ＭＳ 明朝"/>
          <w:b/>
          <w:sz w:val="28"/>
          <w:szCs w:val="28"/>
          <w:lang w:val="en-US"/>
        </w:rPr>
      </w:pPr>
      <w:r>
        <w:rPr>
          <w:b/>
          <w:sz w:val="28"/>
          <w:szCs w:val="28"/>
          <w:lang w:val="en-US"/>
        </w:rPr>
        <w:t>Title:</w:t>
      </w:r>
      <w:r>
        <w:rPr>
          <w:b/>
          <w:sz w:val="28"/>
          <w:szCs w:val="28"/>
          <w:lang w:val="en-US"/>
        </w:rPr>
        <w:tab/>
        <w:t>Initial access aspects</w:t>
      </w:r>
    </w:p>
    <w:p w:rsidR="00A6323D" w:rsidRDefault="00DF0C7C">
      <w:pPr>
        <w:spacing w:after="0" w:afterAutospacing="0"/>
        <w:ind w:left="1985" w:hangingChars="706" w:hanging="1985"/>
        <w:rPr>
          <w:rFonts w:eastAsiaTheme="minorEastAsia"/>
          <w:b/>
          <w:sz w:val="28"/>
          <w:szCs w:val="28"/>
          <w:lang w:val="en-US" w:eastAsia="zh-CN"/>
        </w:rPr>
      </w:pPr>
      <w:r>
        <w:rPr>
          <w:b/>
          <w:sz w:val="28"/>
          <w:szCs w:val="28"/>
          <w:lang w:val="en-US"/>
        </w:rPr>
        <w:t>Agenda Item:</w:t>
      </w:r>
      <w:r>
        <w:rPr>
          <w:b/>
          <w:sz w:val="28"/>
          <w:szCs w:val="28"/>
          <w:lang w:val="en-US"/>
        </w:rPr>
        <w:tab/>
        <w:t>8.2.1</w:t>
      </w:r>
    </w:p>
    <w:p w:rsidR="00A6323D" w:rsidRDefault="00DF0C7C">
      <w:pPr>
        <w:pBdr>
          <w:bottom w:val="single" w:sz="12" w:space="1" w:color="auto"/>
        </w:pBdr>
        <w:spacing w:after="0" w:afterAutospacing="0"/>
        <w:ind w:left="1985" w:hangingChars="706" w:hanging="1985"/>
        <w:rPr>
          <w:b/>
          <w:sz w:val="28"/>
          <w:szCs w:val="28"/>
          <w:lang w:val="en-US"/>
        </w:rPr>
      </w:pPr>
      <w:r>
        <w:rPr>
          <w:b/>
          <w:sz w:val="28"/>
          <w:szCs w:val="28"/>
          <w:lang w:val="en-US"/>
        </w:rPr>
        <w:t>Document for:</w:t>
      </w:r>
      <w:r>
        <w:rPr>
          <w:b/>
          <w:sz w:val="28"/>
          <w:szCs w:val="28"/>
          <w:lang w:val="en-US"/>
        </w:rPr>
        <w:tab/>
        <w:t>Discussion</w:t>
      </w:r>
      <w:bookmarkStart w:id="3" w:name="DocumentFor"/>
      <w:bookmarkEnd w:id="3"/>
      <w:r>
        <w:rPr>
          <w:b/>
          <w:sz w:val="28"/>
          <w:szCs w:val="28"/>
          <w:lang w:val="en-US"/>
        </w:rPr>
        <w:t xml:space="preserve"> and Decision</w:t>
      </w:r>
    </w:p>
    <w:p w:rsidR="00A6323D" w:rsidRDefault="00DF0C7C">
      <w:pPr>
        <w:pStyle w:val="10"/>
        <w:numPr>
          <w:ilvl w:val="0"/>
          <w:numId w:val="13"/>
        </w:numPr>
        <w:spacing w:before="0" w:after="180"/>
        <w:rPr>
          <w:rFonts w:ascii="Times New Roman" w:hAnsi="Times New Roman"/>
        </w:rPr>
      </w:pPr>
      <w:r>
        <w:rPr>
          <w:rFonts w:ascii="Times New Roman" w:hAnsi="Times New Roman"/>
        </w:rPr>
        <w:t>Introduction</w:t>
      </w:r>
      <w:bookmarkEnd w:id="2"/>
    </w:p>
    <w:p w:rsidR="00A6323D" w:rsidRDefault="00DF0C7C">
      <w:pPr>
        <w:adjustRightInd w:val="0"/>
        <w:spacing w:after="0" w:afterAutospacing="0"/>
        <w:rPr>
          <w:rFonts w:eastAsiaTheme="minorEastAsia"/>
          <w:szCs w:val="24"/>
          <w:lang w:val="en-US"/>
        </w:rPr>
      </w:pPr>
      <w:r>
        <w:rPr>
          <w:szCs w:val="24"/>
        </w:rPr>
        <w:t>In this contribution, we provide discussions on</w:t>
      </w:r>
      <w:r>
        <w:rPr>
          <w:szCs w:val="24"/>
        </w:rPr>
        <w:t xml:space="preserve">　</w:t>
      </w:r>
      <w:r>
        <w:rPr>
          <w:szCs w:val="24"/>
        </w:rPr>
        <w:t>initial access aspects</w:t>
      </w:r>
      <w:r>
        <w:rPr>
          <w:szCs w:val="24"/>
        </w:rPr>
        <w:t xml:space="preserve">　</w:t>
      </w:r>
      <w:r>
        <w:rPr>
          <w:szCs w:val="24"/>
        </w:rPr>
        <w:t>of supporting NR from 52.6GHz to 71 GHz.</w:t>
      </w:r>
      <w:r>
        <w:rPr>
          <w:rFonts w:eastAsiaTheme="minorEastAsia"/>
          <w:szCs w:val="24"/>
          <w:lang w:val="en-US"/>
        </w:rPr>
        <w:t xml:space="preserve"> </w:t>
      </w:r>
      <w:r>
        <w:rPr>
          <w:rFonts w:eastAsiaTheme="minorEastAsia"/>
          <w:szCs w:val="24"/>
        </w:rPr>
        <w:t>I</w:t>
      </w:r>
      <w:r>
        <w:rPr>
          <w:rFonts w:eastAsiaTheme="minorEastAsia"/>
          <w:szCs w:val="24"/>
          <w:lang w:val="en-US"/>
        </w:rPr>
        <w:t xml:space="preserve">ssues in WID scope and </w:t>
      </w:r>
      <w:r>
        <w:rPr>
          <w:rFonts w:eastAsiaTheme="minorEastAsia"/>
          <w:szCs w:val="24"/>
        </w:rPr>
        <w:t>under discussion</w:t>
      </w:r>
      <w:r>
        <w:rPr>
          <w:rFonts w:eastAsiaTheme="minorEastAsia"/>
          <w:szCs w:val="24"/>
          <w:lang w:val="en-US"/>
        </w:rPr>
        <w:t xml:space="preserve"> </w:t>
      </w:r>
      <w:r>
        <w:rPr>
          <w:rFonts w:eastAsiaTheme="minorEastAsia"/>
          <w:szCs w:val="24"/>
        </w:rPr>
        <w:t>in RAN1</w:t>
      </w:r>
      <w:r>
        <w:rPr>
          <w:rFonts w:eastAsiaTheme="minorEastAsia"/>
          <w:szCs w:val="24"/>
          <w:lang w:val="en-US"/>
        </w:rPr>
        <w:t xml:space="preserve"> e-Meeting</w:t>
      </w:r>
      <w:r>
        <w:rPr>
          <w:rFonts w:eastAsiaTheme="minorEastAsia"/>
          <w:szCs w:val="24"/>
        </w:rPr>
        <w:t>s</w:t>
      </w:r>
      <w:r>
        <w:rPr>
          <w:rFonts w:eastAsiaTheme="minorEastAsia"/>
          <w:szCs w:val="24"/>
          <w:lang w:val="en-US"/>
        </w:rPr>
        <w:t xml:space="preserve"> are summarized as the follows</w:t>
      </w:r>
      <w:r w:rsidR="007053AF">
        <w:rPr>
          <w:rFonts w:eastAsiaTheme="minorEastAsia"/>
          <w:szCs w:val="24"/>
          <w:lang w:val="en-US"/>
        </w:rPr>
        <w:t xml:space="preserve"> [1] [2]</w:t>
      </w:r>
      <w:r>
        <w:rPr>
          <w:rFonts w:eastAsiaTheme="minorEastAsia"/>
          <w:szCs w:val="24"/>
        </w:rPr>
        <w:t>:</w:t>
      </w:r>
    </w:p>
    <w:p w:rsidR="00A6323D" w:rsidRDefault="00DF0C7C">
      <w:pPr>
        <w:pStyle w:val="1b"/>
        <w:numPr>
          <w:ilvl w:val="0"/>
          <w:numId w:val="14"/>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SSB aspects</w:t>
      </w:r>
      <w:r>
        <w:rPr>
          <w:rFonts w:eastAsiaTheme="minorEastAsia"/>
          <w:color w:val="000000" w:themeColor="text1"/>
          <w:szCs w:val="24"/>
        </w:rPr>
        <w:t>: s</w:t>
      </w:r>
      <w:r>
        <w:rPr>
          <w:rFonts w:eastAsiaTheme="minorEastAsia"/>
          <w:color w:val="000000" w:themeColor="text1"/>
          <w:szCs w:val="24"/>
          <w:lang w:val="en-US"/>
        </w:rPr>
        <w:t>upported numerology</w:t>
      </w:r>
      <w:r>
        <w:rPr>
          <w:rFonts w:eastAsiaTheme="minorEastAsia"/>
          <w:color w:val="000000" w:themeColor="text1"/>
          <w:szCs w:val="24"/>
        </w:rPr>
        <w:t>, m</w:t>
      </w:r>
      <w:r>
        <w:rPr>
          <w:rFonts w:eastAsiaTheme="minorEastAsia"/>
          <w:color w:val="000000" w:themeColor="text1"/>
          <w:szCs w:val="24"/>
          <w:lang w:val="en-US"/>
        </w:rPr>
        <w:t>ixed Numerology between SSB and CORESET#0</w:t>
      </w:r>
      <w:r>
        <w:rPr>
          <w:rFonts w:eastAsiaTheme="minorEastAsia"/>
          <w:color w:val="000000" w:themeColor="text1"/>
          <w:szCs w:val="24"/>
        </w:rPr>
        <w:t>, i</w:t>
      </w:r>
      <w:r>
        <w:rPr>
          <w:rFonts w:eastAsiaTheme="minorEastAsia"/>
          <w:color w:val="000000" w:themeColor="text1"/>
          <w:szCs w:val="24"/>
          <w:lang w:val="en-US"/>
        </w:rPr>
        <w:t xml:space="preserve">nitial </w:t>
      </w:r>
      <w:r>
        <w:rPr>
          <w:rFonts w:eastAsiaTheme="minorEastAsia"/>
          <w:color w:val="000000" w:themeColor="text1"/>
          <w:szCs w:val="24"/>
        </w:rPr>
        <w:t>a</w:t>
      </w:r>
      <w:r>
        <w:rPr>
          <w:rFonts w:eastAsiaTheme="minorEastAsia"/>
          <w:color w:val="000000" w:themeColor="text1"/>
          <w:szCs w:val="24"/>
          <w:lang w:val="en-US"/>
        </w:rPr>
        <w:t xml:space="preserve">ccess </w:t>
      </w:r>
      <w:r>
        <w:rPr>
          <w:rFonts w:eastAsiaTheme="minorEastAsia"/>
          <w:color w:val="000000" w:themeColor="text1"/>
          <w:szCs w:val="24"/>
        </w:rPr>
        <w:t>s</w:t>
      </w:r>
      <w:r>
        <w:rPr>
          <w:rFonts w:eastAsiaTheme="minorEastAsia"/>
          <w:color w:val="000000" w:themeColor="text1"/>
          <w:szCs w:val="24"/>
          <w:lang w:val="en-US"/>
        </w:rPr>
        <w:t xml:space="preserve">upport for additional </w:t>
      </w:r>
      <w:r>
        <w:rPr>
          <w:rFonts w:eastAsiaTheme="minorEastAsia"/>
          <w:color w:val="000000" w:themeColor="text1"/>
          <w:szCs w:val="24"/>
        </w:rPr>
        <w:t xml:space="preserve">numerology, </w:t>
      </w:r>
      <w:r>
        <w:rPr>
          <w:rFonts w:eastAsiaTheme="minorEastAsia"/>
          <w:color w:val="000000" w:themeColor="text1"/>
          <w:szCs w:val="24"/>
          <w:lang w:val="en-US"/>
        </w:rPr>
        <w:t xml:space="preserve">SSB </w:t>
      </w:r>
      <w:r>
        <w:rPr>
          <w:rFonts w:eastAsiaTheme="minorEastAsia"/>
          <w:color w:val="000000" w:themeColor="text1"/>
          <w:szCs w:val="24"/>
        </w:rPr>
        <w:t>r</w:t>
      </w:r>
      <w:r>
        <w:rPr>
          <w:rFonts w:eastAsiaTheme="minorEastAsia"/>
          <w:color w:val="000000" w:themeColor="text1"/>
          <w:szCs w:val="24"/>
          <w:lang w:val="en-US"/>
        </w:rPr>
        <w:t xml:space="preserve">esource </w:t>
      </w:r>
      <w:r>
        <w:rPr>
          <w:rFonts w:eastAsiaTheme="minorEastAsia"/>
          <w:color w:val="000000" w:themeColor="text1"/>
          <w:szCs w:val="24"/>
        </w:rPr>
        <w:t>p</w:t>
      </w:r>
      <w:r>
        <w:rPr>
          <w:rFonts w:eastAsiaTheme="minorEastAsia"/>
          <w:color w:val="000000" w:themeColor="text1"/>
          <w:szCs w:val="24"/>
          <w:lang w:val="en-US"/>
        </w:rPr>
        <w:t>attern</w:t>
      </w:r>
      <w:r>
        <w:rPr>
          <w:rFonts w:eastAsiaTheme="minorEastAsia"/>
          <w:color w:val="000000" w:themeColor="text1"/>
          <w:szCs w:val="24"/>
        </w:rPr>
        <w:t xml:space="preserve">, </w:t>
      </w:r>
      <w:r>
        <w:rPr>
          <w:rFonts w:eastAsiaTheme="minorEastAsia"/>
          <w:color w:val="000000" w:themeColor="text1"/>
          <w:szCs w:val="24"/>
          <w:lang w:val="en-US"/>
        </w:rPr>
        <w:t xml:space="preserve">SSB and CORESET#0 </w:t>
      </w:r>
      <w:r>
        <w:rPr>
          <w:rFonts w:eastAsiaTheme="minorEastAsia"/>
          <w:color w:val="000000" w:themeColor="text1"/>
          <w:szCs w:val="24"/>
        </w:rPr>
        <w:t>m</w:t>
      </w:r>
      <w:r>
        <w:rPr>
          <w:rFonts w:eastAsiaTheme="minorEastAsia"/>
          <w:color w:val="000000" w:themeColor="text1"/>
          <w:szCs w:val="24"/>
          <w:lang w:val="en-US"/>
        </w:rPr>
        <w:t>ultiplexing</w:t>
      </w:r>
      <w:r>
        <w:rPr>
          <w:rFonts w:eastAsiaTheme="minorEastAsia"/>
          <w:color w:val="000000" w:themeColor="text1"/>
          <w:szCs w:val="24"/>
        </w:rPr>
        <w:t xml:space="preserve">, and </w:t>
      </w:r>
      <w:r>
        <w:rPr>
          <w:rFonts w:eastAsiaTheme="minorEastAsia"/>
          <w:color w:val="000000" w:themeColor="text1"/>
          <w:szCs w:val="24"/>
          <w:lang w:val="en-US"/>
        </w:rPr>
        <w:t xml:space="preserve">CORESET#0 </w:t>
      </w:r>
      <w:r>
        <w:rPr>
          <w:rFonts w:eastAsiaTheme="minorEastAsia"/>
          <w:color w:val="000000" w:themeColor="text1"/>
          <w:szCs w:val="24"/>
        </w:rPr>
        <w:t>c</w:t>
      </w:r>
      <w:r>
        <w:rPr>
          <w:rFonts w:eastAsiaTheme="minorEastAsia"/>
          <w:color w:val="000000" w:themeColor="text1"/>
          <w:szCs w:val="24"/>
          <w:lang w:val="en-US"/>
        </w:rPr>
        <w:t>onfiguration</w:t>
      </w:r>
      <w:r>
        <w:rPr>
          <w:rFonts w:eastAsiaTheme="minorEastAsia"/>
          <w:color w:val="000000" w:themeColor="text1"/>
          <w:szCs w:val="24"/>
        </w:rPr>
        <w:t>.</w:t>
      </w:r>
    </w:p>
    <w:p w:rsidR="00A6323D" w:rsidRDefault="00DF0C7C">
      <w:pPr>
        <w:pStyle w:val="1b"/>
        <w:numPr>
          <w:ilvl w:val="0"/>
          <w:numId w:val="15"/>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PRACH aspects</w:t>
      </w:r>
      <w:r>
        <w:rPr>
          <w:rFonts w:eastAsiaTheme="minorEastAsia"/>
          <w:color w:val="000000" w:themeColor="text1"/>
          <w:szCs w:val="24"/>
        </w:rPr>
        <w:t xml:space="preserve">: </w:t>
      </w:r>
      <w:r>
        <w:rPr>
          <w:rFonts w:eastAsiaTheme="minorEastAsia"/>
          <w:color w:val="000000" w:themeColor="text1"/>
          <w:szCs w:val="24"/>
          <w:lang w:val="en-US"/>
        </w:rPr>
        <w:t xml:space="preserve">PRACH sequence length, supported numerology </w:t>
      </w:r>
      <w:r>
        <w:rPr>
          <w:rFonts w:eastAsiaTheme="minorEastAsia"/>
          <w:color w:val="000000" w:themeColor="text1"/>
          <w:szCs w:val="24"/>
        </w:rPr>
        <w:t xml:space="preserve">and </w:t>
      </w:r>
      <w:r>
        <w:rPr>
          <w:rFonts w:eastAsiaTheme="minorEastAsia"/>
          <w:color w:val="000000" w:themeColor="text1"/>
          <w:szCs w:val="24"/>
          <w:lang w:val="en-US"/>
        </w:rPr>
        <w:t>format</w:t>
      </w:r>
      <w:r>
        <w:rPr>
          <w:rFonts w:eastAsiaTheme="minorEastAsia"/>
          <w:color w:val="000000" w:themeColor="text1"/>
          <w:szCs w:val="24"/>
        </w:rPr>
        <w:t xml:space="preserve">, </w:t>
      </w:r>
      <w:r>
        <w:rPr>
          <w:rFonts w:eastAsiaTheme="minorEastAsia"/>
          <w:color w:val="000000" w:themeColor="text1"/>
          <w:szCs w:val="24"/>
          <w:lang w:val="en-US"/>
        </w:rPr>
        <w:t xml:space="preserve">RACH </w:t>
      </w:r>
      <w:r>
        <w:rPr>
          <w:rFonts w:eastAsiaTheme="minorEastAsia"/>
          <w:color w:val="000000" w:themeColor="text1"/>
          <w:szCs w:val="24"/>
        </w:rPr>
        <w:t>o</w:t>
      </w:r>
      <w:r>
        <w:rPr>
          <w:rFonts w:eastAsiaTheme="minorEastAsia"/>
          <w:color w:val="000000" w:themeColor="text1"/>
          <w:szCs w:val="24"/>
          <w:lang w:val="en-US"/>
        </w:rPr>
        <w:t xml:space="preserve">ccasion </w:t>
      </w:r>
      <w:r>
        <w:rPr>
          <w:rFonts w:eastAsiaTheme="minorEastAsia"/>
          <w:color w:val="000000" w:themeColor="text1"/>
          <w:szCs w:val="24"/>
        </w:rPr>
        <w:t>r</w:t>
      </w:r>
      <w:r>
        <w:rPr>
          <w:rFonts w:eastAsiaTheme="minorEastAsia"/>
          <w:color w:val="000000" w:themeColor="text1"/>
          <w:szCs w:val="24"/>
          <w:lang w:val="en-US"/>
        </w:rPr>
        <w:t>esources</w:t>
      </w:r>
      <w:r>
        <w:rPr>
          <w:rFonts w:eastAsiaTheme="minorEastAsia"/>
          <w:color w:val="000000" w:themeColor="text1"/>
          <w:szCs w:val="24"/>
        </w:rPr>
        <w:t xml:space="preserve">, </w:t>
      </w:r>
      <w:r>
        <w:rPr>
          <w:rFonts w:eastAsiaTheme="minorEastAsia"/>
          <w:color w:val="000000" w:themeColor="text1"/>
          <w:szCs w:val="24"/>
          <w:lang w:val="en-US"/>
        </w:rPr>
        <w:t xml:space="preserve">RA </w:t>
      </w:r>
      <w:r>
        <w:rPr>
          <w:rFonts w:eastAsiaTheme="minorEastAsia"/>
          <w:color w:val="000000" w:themeColor="text1"/>
          <w:szCs w:val="24"/>
        </w:rPr>
        <w:t>p</w:t>
      </w:r>
      <w:r>
        <w:rPr>
          <w:rFonts w:eastAsiaTheme="minorEastAsia"/>
          <w:color w:val="000000" w:themeColor="text1"/>
          <w:szCs w:val="24"/>
          <w:lang w:val="en-US"/>
        </w:rPr>
        <w:t>reamble ID calculation</w:t>
      </w:r>
      <w:r>
        <w:rPr>
          <w:rFonts w:eastAsiaTheme="minorEastAsia"/>
          <w:color w:val="000000" w:themeColor="text1"/>
          <w:szCs w:val="24"/>
        </w:rPr>
        <w:t>, and s</w:t>
      </w:r>
      <w:r>
        <w:rPr>
          <w:rFonts w:eastAsiaTheme="minorEastAsia"/>
          <w:color w:val="000000" w:themeColor="text1"/>
          <w:szCs w:val="24"/>
          <w:lang w:val="en-US"/>
        </w:rPr>
        <w:t xml:space="preserve">hort </w:t>
      </w:r>
      <w:r>
        <w:rPr>
          <w:rFonts w:eastAsiaTheme="minorEastAsia"/>
          <w:color w:val="000000" w:themeColor="text1"/>
          <w:szCs w:val="24"/>
        </w:rPr>
        <w:t>s</w:t>
      </w:r>
      <w:r>
        <w:rPr>
          <w:rFonts w:eastAsiaTheme="minorEastAsia"/>
          <w:color w:val="000000" w:themeColor="text1"/>
          <w:szCs w:val="24"/>
          <w:lang w:val="en-US"/>
        </w:rPr>
        <w:t xml:space="preserve">ignal </w:t>
      </w:r>
      <w:r>
        <w:rPr>
          <w:rFonts w:eastAsiaTheme="minorEastAsia"/>
          <w:color w:val="000000" w:themeColor="text1"/>
          <w:szCs w:val="24"/>
        </w:rPr>
        <w:t>e</w:t>
      </w:r>
      <w:r>
        <w:rPr>
          <w:rFonts w:eastAsiaTheme="minorEastAsia"/>
          <w:color w:val="000000" w:themeColor="text1"/>
          <w:szCs w:val="24"/>
          <w:lang w:val="en-US"/>
        </w:rPr>
        <w:t>xception for PRACH</w:t>
      </w:r>
    </w:p>
    <w:p w:rsidR="00A6323D" w:rsidRDefault="00A6323D">
      <w:pPr>
        <w:adjustRightInd w:val="0"/>
        <w:spacing w:after="0" w:afterAutospacing="0"/>
        <w:rPr>
          <w:rFonts w:eastAsiaTheme="minorEastAsia"/>
          <w:szCs w:val="24"/>
          <w:lang w:val="en-US"/>
        </w:rPr>
      </w:pPr>
    </w:p>
    <w:p w:rsidR="00A6323D" w:rsidRDefault="00A6323D">
      <w:pPr>
        <w:adjustRightInd w:val="0"/>
        <w:spacing w:after="0" w:afterAutospacing="0"/>
        <w:rPr>
          <w:rFonts w:eastAsiaTheme="minorEastAsia"/>
          <w:szCs w:val="24"/>
        </w:rPr>
      </w:pPr>
    </w:p>
    <w:p w:rsidR="00A6323D" w:rsidRDefault="00DF0C7C">
      <w:pPr>
        <w:pStyle w:val="10"/>
        <w:numPr>
          <w:ilvl w:val="0"/>
          <w:numId w:val="13"/>
        </w:numPr>
        <w:spacing w:before="0" w:after="180"/>
        <w:rPr>
          <w:rFonts w:ascii="Times New Roman" w:hAnsi="Times New Roman"/>
        </w:rPr>
      </w:pPr>
      <w:r>
        <w:rPr>
          <w:rFonts w:ascii="Times New Roman" w:hAnsi="Times New Roman"/>
        </w:rPr>
        <w:t>SSB aspects</w:t>
      </w:r>
    </w:p>
    <w:p w:rsidR="00A6323D" w:rsidRDefault="00DF0C7C">
      <w:pPr>
        <w:pStyle w:val="10"/>
        <w:numPr>
          <w:ilvl w:val="1"/>
          <w:numId w:val="13"/>
        </w:numPr>
        <w:spacing w:before="0" w:after="180"/>
        <w:rPr>
          <w:rFonts w:ascii="Times New Roman" w:hAnsi="Times New Roman"/>
          <w:sz w:val="28"/>
        </w:rPr>
      </w:pPr>
      <w:r>
        <w:rPr>
          <w:rFonts w:ascii="Times New Roman" w:hAnsi="Times New Roman"/>
          <w:sz w:val="28"/>
        </w:rPr>
        <w:t xml:space="preserve"> Supported numerologies</w:t>
      </w:r>
    </w:p>
    <w:p w:rsidR="00720C33" w:rsidRPr="00720C33" w:rsidRDefault="00720C33" w:rsidP="00720C33">
      <w:pPr>
        <w:adjustRightInd w:val="0"/>
        <w:spacing w:after="0" w:afterAutospacing="0"/>
        <w:rPr>
          <w:rFonts w:eastAsiaTheme="minorEastAsia"/>
          <w:szCs w:val="24"/>
        </w:rPr>
      </w:pPr>
      <w:r w:rsidRPr="00720C33">
        <w:rPr>
          <w:rFonts w:eastAsiaTheme="minorEastAsia"/>
          <w:szCs w:val="24"/>
        </w:rPr>
        <w:t>The following agreement has been achieved in RAN1 104-e meeting:</w:t>
      </w:r>
    </w:p>
    <w:p w:rsidR="00A6323D" w:rsidRPr="00720C33" w:rsidRDefault="00A6323D">
      <w:pPr>
        <w:adjustRightInd w:val="0"/>
        <w:spacing w:after="0" w:afterAutospacing="0"/>
        <w:rPr>
          <w:rFonts w:eastAsiaTheme="minorEastAsia"/>
          <w:szCs w:val="24"/>
        </w:rPr>
      </w:pPr>
    </w:p>
    <w:tbl>
      <w:tblPr>
        <w:tblW w:w="988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88"/>
      </w:tblGrid>
      <w:tr w:rsidR="00A6323D">
        <w:trPr>
          <w:trHeight w:val="1160"/>
        </w:trPr>
        <w:tc>
          <w:tcPr>
            <w:tcW w:w="9888" w:type="dxa"/>
          </w:tcPr>
          <w:p w:rsidR="00A6323D" w:rsidRDefault="00DF0C7C">
            <w:pPr>
              <w:ind w:left="107"/>
              <w:rPr>
                <w:sz w:val="20"/>
                <w:lang w:eastAsia="zh-CN"/>
              </w:rPr>
            </w:pPr>
            <w:r>
              <w:rPr>
                <w:sz w:val="20"/>
                <w:highlight w:val="green"/>
                <w:lang w:eastAsia="zh-CN"/>
              </w:rPr>
              <w:t>Agreement:</w:t>
            </w:r>
          </w:p>
          <w:p w:rsidR="00A6323D" w:rsidRDefault="00DF0C7C">
            <w:pPr>
              <w:ind w:left="107"/>
              <w:rPr>
                <w:sz w:val="21"/>
                <w:highlight w:val="green"/>
                <w:lang w:eastAsia="zh-CN"/>
              </w:rPr>
            </w:pPr>
            <w:r>
              <w:rPr>
                <w:rFonts w:cs="Times"/>
                <w:sz w:val="20"/>
                <w:lang w:eastAsia="zh-CN"/>
              </w:rPr>
              <w:t xml:space="preserve">Whether or not to support </w:t>
            </w:r>
            <w:bookmarkStart w:id="4" w:name="_Hlk68008518"/>
            <w:r>
              <w:rPr>
                <w:rFonts w:cs="Times"/>
                <w:sz w:val="20"/>
                <w:lang w:eastAsia="zh-CN"/>
              </w:rPr>
              <w:t>240 kHz, 480kHz and 960kHz SCS for SSB</w:t>
            </w:r>
            <w:bookmarkEnd w:id="4"/>
            <w:r>
              <w:rPr>
                <w:rFonts w:cs="Times"/>
                <w:sz w:val="20"/>
                <w:lang w:eastAsia="zh-CN"/>
              </w:rPr>
              <w:t xml:space="preserve"> and the conditions under which SSB for 240 kHz, 480 kHz and 960 kHz may be supported will be decided no later than RAN1#104bis-e.</w:t>
            </w:r>
          </w:p>
        </w:tc>
      </w:tr>
    </w:tbl>
    <w:p w:rsidR="00681E56" w:rsidRDefault="00681E56">
      <w:pPr>
        <w:rPr>
          <w:rFonts w:eastAsiaTheme="minorEastAsia" w:cs="Times"/>
        </w:rPr>
      </w:pPr>
    </w:p>
    <w:p w:rsidR="004D5F45" w:rsidRPr="00136458" w:rsidRDefault="004D5F45">
      <w:pPr>
        <w:rPr>
          <w:rFonts w:eastAsiaTheme="minorEastAsia" w:cs="Times"/>
        </w:rPr>
      </w:pPr>
      <w:r w:rsidRPr="00136458">
        <w:rPr>
          <w:rFonts w:eastAsiaTheme="minorEastAsia" w:cs="Times"/>
        </w:rPr>
        <w:t xml:space="preserve">Although there are several important issues of SSB aspects, discussions on most of the issues depend on the possible agreement on the supported numerologies for SSB. Thus, it reasonable to firstly decide which numerology to be supported for </w:t>
      </w:r>
      <w:r w:rsidR="009B1607">
        <w:rPr>
          <w:rFonts w:eastAsiaTheme="minorEastAsia" w:cs="Times"/>
        </w:rPr>
        <w:t xml:space="preserve">the sake of </w:t>
      </w:r>
      <w:r w:rsidRPr="00136458">
        <w:rPr>
          <w:rFonts w:eastAsiaTheme="minorEastAsia" w:cs="Times"/>
        </w:rPr>
        <w:t xml:space="preserve">efficient discussion progress. </w:t>
      </w:r>
      <w:r w:rsidR="00B3001F">
        <w:rPr>
          <w:rFonts w:eastAsiaTheme="minorEastAsia" w:cs="Times"/>
        </w:rPr>
        <w:t>In the previous RAN1 #104 eMeeting, i</w:t>
      </w:r>
      <w:r w:rsidRPr="00136458">
        <w:rPr>
          <w:rFonts w:eastAsiaTheme="minorEastAsia" w:cs="Times"/>
        </w:rPr>
        <w:t>t was intensively discuss</w:t>
      </w:r>
      <w:r w:rsidR="0070327C" w:rsidRPr="00136458">
        <w:rPr>
          <w:rFonts w:eastAsiaTheme="minorEastAsia" w:cs="Times"/>
        </w:rPr>
        <w:t>ed whether</w:t>
      </w:r>
      <w:r w:rsidRPr="00136458">
        <w:rPr>
          <w:rFonts w:eastAsiaTheme="minorEastAsia" w:cs="Times"/>
        </w:rPr>
        <w:t xml:space="preserve"> to support </w:t>
      </w:r>
      <w:r w:rsidR="0070327C" w:rsidRPr="00136458">
        <w:rPr>
          <w:rFonts w:eastAsiaTheme="minorEastAsia" w:cs="Times"/>
        </w:rPr>
        <w:t>240 kHz, 480kHz and 960kHz SCS, separately for initial access case and non-initial access case.</w:t>
      </w:r>
      <w:r w:rsidR="00136458">
        <w:rPr>
          <w:rFonts w:eastAsiaTheme="minorEastAsia" w:cs="Times"/>
        </w:rPr>
        <w:t xml:space="preserve"> In this meeting, we</w:t>
      </w:r>
      <w:r w:rsidR="00AC1747">
        <w:rPr>
          <w:rFonts w:eastAsiaTheme="minorEastAsia" w:cs="Times"/>
        </w:rPr>
        <w:t xml:space="preserve"> prioritize</w:t>
      </w:r>
      <w:r w:rsidR="007249E6">
        <w:rPr>
          <w:rFonts w:eastAsiaTheme="minorEastAsia" w:cs="Times"/>
        </w:rPr>
        <w:t xml:space="preserve"> and focus on</w:t>
      </w:r>
      <w:r w:rsidR="00136458">
        <w:rPr>
          <w:rFonts w:eastAsiaTheme="minorEastAsia" w:cs="Times"/>
        </w:rPr>
        <w:t xml:space="preserve"> the discussion of </w:t>
      </w:r>
      <w:r w:rsidR="00136458" w:rsidRPr="00136458">
        <w:rPr>
          <w:rFonts w:eastAsiaTheme="minorEastAsia" w:cs="Times"/>
        </w:rPr>
        <w:t>supported numerologies for SSB.</w:t>
      </w:r>
    </w:p>
    <w:p w:rsidR="00A6323D" w:rsidRPr="00136458" w:rsidRDefault="00C86DB6" w:rsidP="00136458">
      <w:pPr>
        <w:rPr>
          <w:rFonts w:eastAsiaTheme="minorEastAsia" w:cs="Times"/>
        </w:rPr>
      </w:pPr>
      <w:r w:rsidRPr="00136458">
        <w:rPr>
          <w:rFonts w:eastAsiaTheme="minorEastAsia" w:cs="Times" w:hint="eastAsia"/>
        </w:rPr>
        <w:t>F</w:t>
      </w:r>
      <w:r w:rsidRPr="00136458">
        <w:rPr>
          <w:rFonts w:eastAsiaTheme="minorEastAsia" w:cs="Times"/>
        </w:rPr>
        <w:t>or the initial access case,</w:t>
      </w:r>
      <w:r w:rsidR="00CD5136">
        <w:rPr>
          <w:rFonts w:eastAsiaTheme="minorEastAsia" w:cs="Times" w:hint="eastAsia"/>
        </w:rPr>
        <w:t xml:space="preserve"> </w:t>
      </w:r>
      <w:r w:rsidR="00CD5136">
        <w:rPr>
          <w:rFonts w:eastAsiaTheme="minorEastAsia" w:cs="Times"/>
        </w:rPr>
        <w:t>currently</w:t>
      </w:r>
      <w:r w:rsidRPr="00136458">
        <w:rPr>
          <w:rFonts w:eastAsiaTheme="minorEastAsia" w:cs="Times"/>
        </w:rPr>
        <w:t xml:space="preserve"> </w:t>
      </w:r>
      <w:r w:rsidRPr="00136458">
        <w:rPr>
          <w:rFonts w:eastAsiaTheme="minorEastAsia" w:cs="Times" w:hint="eastAsia"/>
        </w:rPr>
        <w:t>i</w:t>
      </w:r>
      <w:r w:rsidR="00CD5136">
        <w:rPr>
          <w:rFonts w:eastAsiaTheme="minorEastAsia" w:cs="Times"/>
        </w:rPr>
        <w:t>t is not clear</w:t>
      </w:r>
      <w:r w:rsidRPr="00136458">
        <w:rPr>
          <w:rFonts w:eastAsiaTheme="minorEastAsia" w:cs="Times"/>
        </w:rPr>
        <w:t xml:space="preserve"> how much the UE complexity for cell search</w:t>
      </w:r>
      <w:r w:rsidR="008D0E26" w:rsidRPr="00136458">
        <w:rPr>
          <w:rFonts w:eastAsiaTheme="minorEastAsia" w:cs="Times"/>
        </w:rPr>
        <w:t xml:space="preserve"> changes when higher SCS for SSB is used</w:t>
      </w:r>
      <w:r w:rsidR="00902D7A">
        <w:rPr>
          <w:rFonts w:eastAsiaTheme="minorEastAsia" w:cs="Times"/>
        </w:rPr>
        <w:t>, which also depends</w:t>
      </w:r>
      <w:r w:rsidR="00CD5136">
        <w:rPr>
          <w:rFonts w:eastAsiaTheme="minorEastAsia" w:cs="Times"/>
        </w:rPr>
        <w:t xml:space="preserve"> on</w:t>
      </w:r>
      <w:r w:rsidR="00A17C3D">
        <w:rPr>
          <w:rFonts w:eastAsiaTheme="minorEastAsia" w:cs="Times"/>
        </w:rPr>
        <w:t xml:space="preserve"> other factors, e.g., </w:t>
      </w:r>
      <w:r w:rsidR="00CD5136">
        <w:rPr>
          <w:rFonts w:eastAsiaTheme="minorEastAsia" w:cs="Times"/>
        </w:rPr>
        <w:t>sync raster design by RAN4</w:t>
      </w:r>
      <w:r w:rsidR="008D0E26" w:rsidRPr="00136458">
        <w:rPr>
          <w:rFonts w:eastAsiaTheme="minorEastAsia" w:cs="Times"/>
        </w:rPr>
        <w:t>.</w:t>
      </w:r>
      <w:r w:rsidR="008D0E26" w:rsidRPr="00136458">
        <w:rPr>
          <w:rFonts w:eastAsiaTheme="minorEastAsia" w:cs="Times" w:hint="eastAsia"/>
        </w:rPr>
        <w:t xml:space="preserve"> </w:t>
      </w:r>
      <w:r w:rsidRPr="00136458">
        <w:rPr>
          <w:rFonts w:eastAsiaTheme="minorEastAsia" w:cs="Times" w:hint="eastAsia"/>
        </w:rPr>
        <w:t>F</w:t>
      </w:r>
      <w:r w:rsidRPr="00136458">
        <w:rPr>
          <w:rFonts w:eastAsiaTheme="minorEastAsia" w:cs="Times"/>
        </w:rPr>
        <w:t>or the non-initial access case</w:t>
      </w:r>
      <w:r w:rsidR="008D48CC">
        <w:rPr>
          <w:rFonts w:eastAsiaTheme="minorEastAsia" w:cs="Times"/>
        </w:rPr>
        <w:t>, since frequency</w:t>
      </w:r>
      <w:r w:rsidR="008D0E26" w:rsidRPr="00136458">
        <w:rPr>
          <w:rFonts w:eastAsiaTheme="minorEastAsia" w:cs="Times"/>
        </w:rPr>
        <w:t xml:space="preserve"> locations of SSB are known to UE, </w:t>
      </w:r>
      <w:r w:rsidR="000E19CC" w:rsidRPr="00136458">
        <w:rPr>
          <w:rFonts w:eastAsiaTheme="minorEastAsia" w:cs="Times"/>
        </w:rPr>
        <w:t xml:space="preserve">this would not be </w:t>
      </w:r>
      <w:r w:rsidR="00BF7CE6">
        <w:rPr>
          <w:rFonts w:eastAsiaTheme="minorEastAsia" w:cs="Times"/>
        </w:rPr>
        <w:t xml:space="preserve">a </w:t>
      </w:r>
      <w:r w:rsidR="000E19CC" w:rsidRPr="00136458">
        <w:rPr>
          <w:rFonts w:eastAsiaTheme="minorEastAsia" w:cs="Times"/>
        </w:rPr>
        <w:t xml:space="preserve">critical issue. On the contrary, </w:t>
      </w:r>
      <w:r w:rsidR="00CD5136">
        <w:rPr>
          <w:rFonts w:eastAsiaTheme="minorEastAsia" w:cs="Times"/>
        </w:rPr>
        <w:t>due to the advantages that could</w:t>
      </w:r>
      <w:r w:rsidR="000E19CC" w:rsidRPr="00136458">
        <w:rPr>
          <w:rFonts w:eastAsiaTheme="minorEastAsia" w:cs="Times"/>
        </w:rPr>
        <w:t xml:space="preserve"> better su</w:t>
      </w:r>
      <w:r w:rsidR="00CD5136">
        <w:rPr>
          <w:rFonts w:eastAsiaTheme="minorEastAsia" w:cs="Times"/>
        </w:rPr>
        <w:t>pport higher SCS for data channels (e.g., enabling single numerology, better time synchronization accuracy)</w:t>
      </w:r>
      <w:r w:rsidR="000E19CC" w:rsidRPr="00136458">
        <w:rPr>
          <w:rFonts w:eastAsiaTheme="minorEastAsia" w:cs="Times"/>
        </w:rPr>
        <w:t xml:space="preserve">, </w:t>
      </w:r>
      <w:r w:rsidR="00541CD9" w:rsidRPr="00136458">
        <w:rPr>
          <w:rFonts w:eastAsiaTheme="minorEastAsia" w:cs="Times" w:hint="eastAsia"/>
        </w:rPr>
        <w:t>i</w:t>
      </w:r>
      <w:r w:rsidR="00541CD9" w:rsidRPr="00136458">
        <w:rPr>
          <w:rFonts w:eastAsiaTheme="minorEastAsia" w:cs="Times"/>
        </w:rPr>
        <w:t>ntroducing SCS of 480 kHz and/or 960 kHz at least for SSB of non</w:t>
      </w:r>
      <w:r w:rsidR="00CD5136">
        <w:rPr>
          <w:rFonts w:eastAsiaTheme="minorEastAsia" w:cs="Times"/>
        </w:rPr>
        <w:t>-initial access case is beneficial</w:t>
      </w:r>
      <w:r w:rsidR="00541CD9" w:rsidRPr="00136458">
        <w:rPr>
          <w:rFonts w:eastAsiaTheme="minorEastAsia" w:cs="Times"/>
        </w:rPr>
        <w:t>.</w:t>
      </w:r>
      <w:r w:rsidR="00BA481B">
        <w:rPr>
          <w:rFonts w:eastAsiaTheme="minorEastAsia" w:cs="Times"/>
        </w:rPr>
        <w:t xml:space="preserve"> </w:t>
      </w:r>
    </w:p>
    <w:p w:rsidR="00A6323D" w:rsidRDefault="00DF0C7C">
      <w:pPr>
        <w:adjustRightInd w:val="0"/>
        <w:spacing w:after="0" w:afterAutospacing="0"/>
        <w:rPr>
          <w:rFonts w:eastAsiaTheme="minorEastAsia"/>
          <w:b/>
          <w:szCs w:val="24"/>
        </w:rPr>
      </w:pPr>
      <w:r>
        <w:rPr>
          <w:rFonts w:eastAsiaTheme="minorEastAsia" w:hint="eastAsia"/>
          <w:b/>
          <w:szCs w:val="24"/>
        </w:rPr>
        <w:t>Pro</w:t>
      </w:r>
      <w:r>
        <w:rPr>
          <w:rFonts w:eastAsiaTheme="minorEastAsia"/>
          <w:b/>
          <w:szCs w:val="24"/>
        </w:rPr>
        <w:t xml:space="preserve">posal 1: </w:t>
      </w:r>
      <w:bookmarkStart w:id="5" w:name="_Hlk68009724"/>
      <w:r w:rsidR="00134659">
        <w:rPr>
          <w:rFonts w:eastAsiaTheme="minorEastAsia"/>
          <w:szCs w:val="24"/>
        </w:rPr>
        <w:t>Support 480 kHz and/or</w:t>
      </w:r>
      <w:r>
        <w:rPr>
          <w:rFonts w:eastAsiaTheme="minorEastAsia"/>
          <w:szCs w:val="24"/>
        </w:rPr>
        <w:t xml:space="preserve"> 960 kHz at least for </w:t>
      </w:r>
      <w:r>
        <w:rPr>
          <w:rFonts w:eastAsiaTheme="minorEastAsia" w:hint="eastAsia"/>
          <w:szCs w:val="24"/>
        </w:rPr>
        <w:t>SSB of non-initi</w:t>
      </w:r>
      <w:r>
        <w:rPr>
          <w:rFonts w:eastAsiaTheme="minorEastAsia"/>
          <w:szCs w:val="24"/>
        </w:rPr>
        <w:t>al access case.</w:t>
      </w:r>
      <w:bookmarkEnd w:id="5"/>
    </w:p>
    <w:p w:rsidR="00A6323D" w:rsidRDefault="00A6323D">
      <w:pPr>
        <w:adjustRightInd w:val="0"/>
        <w:spacing w:after="0" w:afterAutospacing="0"/>
        <w:rPr>
          <w:rFonts w:eastAsiaTheme="minorEastAsia"/>
          <w:szCs w:val="24"/>
        </w:rPr>
      </w:pPr>
    </w:p>
    <w:p w:rsidR="00A6323D" w:rsidRDefault="00A6323D">
      <w:pPr>
        <w:adjustRightInd w:val="0"/>
        <w:spacing w:after="0" w:afterAutospacing="0"/>
        <w:rPr>
          <w:rFonts w:eastAsiaTheme="minorEastAsia"/>
          <w:szCs w:val="24"/>
          <w:lang w:val="en-US"/>
        </w:rPr>
      </w:pPr>
    </w:p>
    <w:p w:rsidR="00A6323D" w:rsidRDefault="00DF0C7C">
      <w:pPr>
        <w:pStyle w:val="10"/>
        <w:numPr>
          <w:ilvl w:val="0"/>
          <w:numId w:val="13"/>
        </w:numPr>
        <w:spacing w:before="0" w:after="180"/>
        <w:rPr>
          <w:rFonts w:ascii="Times New Roman" w:hAnsi="Times New Roman"/>
        </w:rPr>
      </w:pPr>
      <w:r>
        <w:rPr>
          <w:rFonts w:ascii="Times New Roman" w:hAnsi="Times New Roman"/>
        </w:rPr>
        <w:t>PRACH aspects</w:t>
      </w:r>
    </w:p>
    <w:p w:rsidR="00A6323D" w:rsidRDefault="00DF0C7C">
      <w:pPr>
        <w:pStyle w:val="10"/>
        <w:numPr>
          <w:ilvl w:val="1"/>
          <w:numId w:val="13"/>
        </w:numPr>
        <w:spacing w:before="0" w:after="180"/>
        <w:rPr>
          <w:rFonts w:ascii="Times New Roman" w:hAnsi="Times New Roman"/>
          <w:sz w:val="28"/>
        </w:rPr>
      </w:pPr>
      <w:r>
        <w:rPr>
          <w:rFonts w:ascii="Times New Roman" w:hAnsi="Times New Roman"/>
          <w:sz w:val="28"/>
        </w:rPr>
        <w:t xml:space="preserve"> Sequence length, format, and numerology</w:t>
      </w:r>
    </w:p>
    <w:p w:rsidR="001632D6" w:rsidRPr="001632D6" w:rsidRDefault="001632D6" w:rsidP="001632D6">
      <w:pPr>
        <w:adjustRightInd w:val="0"/>
        <w:spacing w:after="0" w:afterAutospacing="0"/>
        <w:rPr>
          <w:rFonts w:eastAsiaTheme="minorEastAsia"/>
          <w:szCs w:val="24"/>
        </w:rPr>
      </w:pPr>
      <w:r w:rsidRPr="001632D6">
        <w:rPr>
          <w:rFonts w:eastAsiaTheme="minorEastAsia"/>
          <w:szCs w:val="24"/>
        </w:rPr>
        <w:t>The following agreement has been achieved in RAN1 104-e meeting:</w:t>
      </w:r>
    </w:p>
    <w:p w:rsidR="00A6323D" w:rsidRPr="001632D6" w:rsidRDefault="00A6323D">
      <w:pPr>
        <w:adjustRightInd w:val="0"/>
        <w:spacing w:after="0" w:afterAutospacing="0"/>
        <w:rPr>
          <w:rFonts w:eastAsiaTheme="minorEastAsia"/>
          <w:szCs w:val="24"/>
        </w:rPr>
      </w:pP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049"/>
      </w:tblGrid>
      <w:tr w:rsidR="00A6323D">
        <w:trPr>
          <w:trHeight w:val="2324"/>
        </w:trPr>
        <w:tc>
          <w:tcPr>
            <w:tcW w:w="10049" w:type="dxa"/>
          </w:tcPr>
          <w:p w:rsidR="00A6323D" w:rsidRDefault="00DF0C7C">
            <w:pPr>
              <w:snapToGrid/>
              <w:spacing w:after="0" w:afterAutospacing="0"/>
              <w:ind w:left="92"/>
              <w:jc w:val="left"/>
              <w:rPr>
                <w:rFonts w:eastAsia="Batang"/>
                <w:sz w:val="20"/>
                <w:szCs w:val="24"/>
                <w:lang w:eastAsia="zh-CN"/>
              </w:rPr>
            </w:pPr>
            <w:r>
              <w:rPr>
                <w:rFonts w:eastAsia="Batang"/>
                <w:sz w:val="20"/>
                <w:szCs w:val="24"/>
                <w:highlight w:val="green"/>
                <w:lang w:eastAsia="zh-CN"/>
              </w:rPr>
              <w:t>Agreement:</w:t>
            </w:r>
          </w:p>
          <w:p w:rsidR="00A6323D" w:rsidRDefault="00DF0C7C">
            <w:pPr>
              <w:numPr>
                <w:ilvl w:val="0"/>
                <w:numId w:val="17"/>
              </w:numPr>
              <w:snapToGrid/>
              <w:spacing w:after="0" w:afterAutospacing="0" w:line="259" w:lineRule="auto"/>
              <w:ind w:left="812"/>
              <w:jc w:val="left"/>
              <w:rPr>
                <w:rFonts w:eastAsia="Batang"/>
                <w:sz w:val="20"/>
                <w:lang w:eastAsia="zh-CN"/>
              </w:rPr>
            </w:pPr>
            <w:r>
              <w:rPr>
                <w:rFonts w:eastAsia="Batang"/>
                <w:sz w:val="20"/>
                <w:lang w:eastAsia="zh-CN"/>
              </w:rPr>
              <w:t>For initial access and non-initial access use cases, support 120kHz PRACH SCS with sequence length L=571, 1151 (in addition to L=139) for PRACH Formats A1~A3, B1~B4, C0, and C2.</w:t>
            </w:r>
          </w:p>
          <w:p w:rsidR="00A6323D" w:rsidRDefault="00DF0C7C">
            <w:pPr>
              <w:numPr>
                <w:ilvl w:val="0"/>
                <w:numId w:val="17"/>
              </w:numPr>
              <w:snapToGrid/>
              <w:spacing w:after="0" w:afterAutospacing="0" w:line="259" w:lineRule="auto"/>
              <w:ind w:left="812"/>
              <w:jc w:val="left"/>
              <w:rPr>
                <w:rFonts w:eastAsia="Batang"/>
                <w:sz w:val="20"/>
                <w:lang w:eastAsia="zh-CN"/>
              </w:rPr>
            </w:pPr>
            <w:r>
              <w:rPr>
                <w:rFonts w:eastAsia="Batang"/>
                <w:sz w:val="20"/>
                <w:lang w:eastAsia="zh-CN"/>
              </w:rPr>
              <w:t>For</w:t>
            </w:r>
            <w:r>
              <w:rPr>
                <w:rFonts w:eastAsia="Batang"/>
                <w:color w:val="C00000"/>
                <w:sz w:val="20"/>
                <w:lang w:eastAsia="zh-CN"/>
              </w:rPr>
              <w:t xml:space="preserve"> </w:t>
            </w:r>
            <w:r>
              <w:rPr>
                <w:rFonts w:eastAsia="Batang"/>
                <w:sz w:val="20"/>
                <w:lang w:eastAsia="zh-CN"/>
              </w:rPr>
              <w:t xml:space="preserve">non-initial access use cases, </w:t>
            </w:r>
          </w:p>
          <w:p w:rsidR="00A6323D" w:rsidRDefault="00DF0C7C">
            <w:pPr>
              <w:numPr>
                <w:ilvl w:val="1"/>
                <w:numId w:val="17"/>
              </w:numPr>
              <w:snapToGrid/>
              <w:spacing w:after="0" w:afterAutospacing="0" w:line="259" w:lineRule="auto"/>
              <w:ind w:left="1532"/>
              <w:jc w:val="left"/>
              <w:rPr>
                <w:rFonts w:eastAsia="Batang"/>
                <w:sz w:val="20"/>
                <w:lang w:eastAsia="zh-CN"/>
              </w:rPr>
            </w:pPr>
            <w:r>
              <w:rPr>
                <w:rFonts w:eastAsia="Batang"/>
                <w:sz w:val="20"/>
                <w:lang w:eastAsia="zh-CN"/>
              </w:rPr>
              <w:t>if 480kHz and/or 960 kHz SSB SCS is agreed to be supported, support 480 and/or 960 kHz PRACH SCS with sequence length L=139 for PRACH Formats A1~A3, B1~B4, C0, and C2, respectively.</w:t>
            </w:r>
          </w:p>
          <w:p w:rsidR="00A6323D" w:rsidRDefault="00DF0C7C">
            <w:pPr>
              <w:numPr>
                <w:ilvl w:val="2"/>
                <w:numId w:val="17"/>
              </w:numPr>
              <w:tabs>
                <w:tab w:val="left" w:pos="1080"/>
              </w:tabs>
              <w:snapToGrid/>
              <w:spacing w:after="0" w:afterAutospacing="0" w:line="259" w:lineRule="auto"/>
              <w:ind w:left="2252"/>
              <w:jc w:val="left"/>
              <w:rPr>
                <w:rFonts w:eastAsia="Batang"/>
                <w:sz w:val="20"/>
                <w:lang w:eastAsia="zh-CN"/>
              </w:rPr>
            </w:pPr>
            <w:r>
              <w:rPr>
                <w:rFonts w:eastAsia="Batang"/>
                <w:sz w:val="20"/>
                <w:lang w:eastAsia="zh-CN"/>
              </w:rPr>
              <w:t>FFS: support of sequence length L = 571, 1151</w:t>
            </w:r>
          </w:p>
          <w:p w:rsidR="00A6323D" w:rsidRDefault="00DF0C7C">
            <w:pPr>
              <w:spacing w:after="0"/>
              <w:ind w:left="92"/>
              <w:jc w:val="left"/>
              <w:rPr>
                <w:rFonts w:eastAsia="Batang"/>
                <w:sz w:val="20"/>
                <w:szCs w:val="24"/>
                <w:highlight w:val="green"/>
                <w:lang w:eastAsia="zh-CN"/>
              </w:rPr>
            </w:pPr>
            <w:r>
              <w:rPr>
                <w:rFonts w:eastAsia="Batang"/>
                <w:sz w:val="20"/>
                <w:lang w:eastAsia="zh-CN"/>
              </w:rPr>
              <w:t>FFS: Support of 480 and/or 960 kHz PRACH SCS for initial access use cases, if 480 and/or 960 kHz SSB SCS is agreed to be supported for initial access</w:t>
            </w:r>
          </w:p>
        </w:tc>
      </w:tr>
    </w:tbl>
    <w:p w:rsidR="00A6323D" w:rsidRDefault="00A6323D">
      <w:pPr>
        <w:adjustRightInd w:val="0"/>
        <w:spacing w:after="0" w:afterAutospacing="0"/>
        <w:rPr>
          <w:rFonts w:eastAsiaTheme="minorEastAsia"/>
          <w:szCs w:val="24"/>
        </w:rPr>
      </w:pPr>
    </w:p>
    <w:p w:rsidR="00A6323D" w:rsidRDefault="00134659">
      <w:pPr>
        <w:adjustRightInd w:val="0"/>
        <w:spacing w:after="0" w:afterAutospacing="0"/>
        <w:rPr>
          <w:rFonts w:eastAsiaTheme="minorEastAsia"/>
          <w:szCs w:val="24"/>
        </w:rPr>
      </w:pPr>
      <w:r>
        <w:rPr>
          <w:rFonts w:eastAsiaTheme="minorEastAsia"/>
          <w:szCs w:val="24"/>
        </w:rPr>
        <w:t>As shown in the above agreement, r</w:t>
      </w:r>
      <w:r w:rsidR="00DF0C7C">
        <w:rPr>
          <w:rFonts w:eastAsiaTheme="minorEastAsia"/>
          <w:szCs w:val="24"/>
        </w:rPr>
        <w:t xml:space="preserve">eusing PRACH numerology, sequence length, and formats of FR2 in 60GHz is a reasonable baseline to start with. To support unlicensed operation, introducing L = 571, 1151 (originally only corresponds to 30kHz/15kHz numerologies in Rel-16) to 120kHz numerology is also necessary. </w:t>
      </w:r>
      <w:r>
        <w:rPr>
          <w:rFonts w:eastAsiaTheme="minorEastAsia"/>
          <w:szCs w:val="24"/>
        </w:rPr>
        <w:t>Since w</w:t>
      </w:r>
      <w:r w:rsidR="00DF0C7C">
        <w:rPr>
          <w:rFonts w:eastAsiaTheme="minorEastAsia"/>
          <w:szCs w:val="24"/>
        </w:rPr>
        <w:t>hether to support 480 and/or 960 kHz PRACH SCS depends on agreement of SSB (e.g., whether to supp</w:t>
      </w:r>
      <w:r>
        <w:rPr>
          <w:rFonts w:eastAsiaTheme="minorEastAsia"/>
          <w:szCs w:val="24"/>
        </w:rPr>
        <w:t xml:space="preserve">ort 480 and/or 960 kHz SSB SCS), believing that 480 kHz and/or 960 kHz at least for </w:t>
      </w:r>
      <w:r>
        <w:rPr>
          <w:rFonts w:eastAsiaTheme="minorEastAsia" w:hint="eastAsia"/>
          <w:szCs w:val="24"/>
        </w:rPr>
        <w:t>SSB of non-initi</w:t>
      </w:r>
      <w:r>
        <w:rPr>
          <w:rFonts w:eastAsiaTheme="minorEastAsia"/>
          <w:szCs w:val="24"/>
        </w:rPr>
        <w:t xml:space="preserve">al access case is required, we think that 480 kHz and/or 960 kHz SCS for </w:t>
      </w:r>
      <w:r>
        <w:rPr>
          <w:rFonts w:eastAsiaTheme="minorEastAsia" w:hint="eastAsia"/>
          <w:szCs w:val="24"/>
        </w:rPr>
        <w:t>PRACH</w:t>
      </w:r>
      <w:r>
        <w:rPr>
          <w:rFonts w:eastAsiaTheme="minorEastAsia"/>
          <w:szCs w:val="24"/>
        </w:rPr>
        <w:t xml:space="preserve"> should also be supported.</w:t>
      </w:r>
    </w:p>
    <w:p w:rsidR="00A6323D" w:rsidRDefault="00A6323D">
      <w:pPr>
        <w:adjustRightInd w:val="0"/>
        <w:spacing w:after="0" w:afterAutospacing="0"/>
        <w:rPr>
          <w:rFonts w:eastAsiaTheme="minorEastAsia"/>
          <w:szCs w:val="24"/>
        </w:rPr>
      </w:pPr>
    </w:p>
    <w:p w:rsidR="00A6323D" w:rsidRDefault="00DF0C7C">
      <w:pPr>
        <w:adjustRightInd w:val="0"/>
        <w:spacing w:after="0" w:afterAutospacing="0"/>
        <w:rPr>
          <w:rFonts w:eastAsiaTheme="minorEastAsia"/>
          <w:szCs w:val="24"/>
        </w:rPr>
      </w:pPr>
      <w:r>
        <w:rPr>
          <w:rFonts w:eastAsiaTheme="minorEastAsia"/>
          <w:b/>
          <w:szCs w:val="24"/>
        </w:rPr>
        <w:t>Proposal 2:</w:t>
      </w:r>
      <w:r>
        <w:rPr>
          <w:rFonts w:eastAsiaTheme="minorEastAsia"/>
          <w:szCs w:val="24"/>
        </w:rPr>
        <w:t xml:space="preserve"> Supp</w:t>
      </w:r>
      <w:r w:rsidR="00134659">
        <w:rPr>
          <w:rFonts w:eastAsiaTheme="minorEastAsia"/>
          <w:szCs w:val="24"/>
        </w:rPr>
        <w:t>ort 480 kHz and/or</w:t>
      </w:r>
      <w:r>
        <w:rPr>
          <w:rFonts w:eastAsiaTheme="minorEastAsia"/>
          <w:szCs w:val="24"/>
        </w:rPr>
        <w:t xml:space="preserve"> 960 kHz SCS for </w:t>
      </w:r>
      <w:r>
        <w:rPr>
          <w:rFonts w:eastAsiaTheme="minorEastAsia" w:hint="eastAsia"/>
          <w:szCs w:val="24"/>
        </w:rPr>
        <w:t>PRACH</w:t>
      </w:r>
      <w:r>
        <w:rPr>
          <w:rFonts w:eastAsiaTheme="minorEastAsia"/>
          <w:szCs w:val="24"/>
        </w:rPr>
        <w:t>.</w:t>
      </w:r>
    </w:p>
    <w:p w:rsidR="00A6323D" w:rsidRDefault="00A6323D">
      <w:pPr>
        <w:adjustRightInd w:val="0"/>
        <w:spacing w:after="0" w:afterAutospacing="0"/>
        <w:rPr>
          <w:rFonts w:eastAsiaTheme="minorEastAsia"/>
          <w:szCs w:val="24"/>
        </w:rPr>
      </w:pPr>
    </w:p>
    <w:p w:rsidR="005C0B9F" w:rsidRDefault="005C0B9F" w:rsidP="005C0B9F">
      <w:pPr>
        <w:adjustRightInd w:val="0"/>
        <w:spacing w:after="0" w:afterAutospacing="0"/>
        <w:rPr>
          <w:rFonts w:eastAsiaTheme="minorEastAsia"/>
          <w:szCs w:val="24"/>
        </w:rPr>
      </w:pPr>
      <w:r w:rsidRPr="005C0B9F">
        <w:rPr>
          <w:rFonts w:eastAsiaTheme="minorEastAsia"/>
          <w:szCs w:val="24"/>
        </w:rPr>
        <w:t>Under</w:t>
      </w:r>
      <w:r>
        <w:rPr>
          <w:rFonts w:eastAsiaTheme="minorEastAsia"/>
          <w:szCs w:val="24"/>
        </w:rPr>
        <w:t xml:space="preserve"> the assumption that 480 kHz and/or 960 kHz SCS for </w:t>
      </w:r>
      <w:r>
        <w:rPr>
          <w:rFonts w:eastAsiaTheme="minorEastAsia" w:hint="eastAsia"/>
          <w:szCs w:val="24"/>
        </w:rPr>
        <w:t>PRACH</w:t>
      </w:r>
      <w:r>
        <w:rPr>
          <w:rFonts w:eastAsiaTheme="minorEastAsia"/>
          <w:szCs w:val="24"/>
        </w:rPr>
        <w:t xml:space="preserve"> is supported,</w:t>
      </w:r>
      <w:r w:rsidRPr="005C0B9F">
        <w:rPr>
          <w:rFonts w:eastAsiaTheme="minorEastAsia"/>
          <w:szCs w:val="24"/>
        </w:rPr>
        <w:t xml:space="preserve"> </w:t>
      </w:r>
      <w:r>
        <w:rPr>
          <w:rFonts w:eastAsiaTheme="minorEastAsia"/>
          <w:szCs w:val="24"/>
        </w:rPr>
        <w:t>a remained FFS is w</w:t>
      </w:r>
      <w:r w:rsidR="00DF0C7C">
        <w:rPr>
          <w:rFonts w:eastAsiaTheme="minorEastAsia"/>
          <w:szCs w:val="24"/>
        </w:rPr>
        <w:t>hether L = 571, 1151 is necessary for 480 and/or 960 kHz PRACH SCS.</w:t>
      </w:r>
      <w:r>
        <w:rPr>
          <w:rFonts w:eastAsiaTheme="minorEastAsia"/>
          <w:szCs w:val="24"/>
        </w:rPr>
        <w:t xml:space="preserve"> For PRACH SCS 120kHz, under the 23dBm/MHz PSD </w:t>
      </w:r>
      <w:r w:rsidR="00232ADC">
        <w:rPr>
          <w:rFonts w:eastAsiaTheme="minorEastAsia"/>
          <w:szCs w:val="24"/>
        </w:rPr>
        <w:t>constraint</w:t>
      </w:r>
      <w:r>
        <w:rPr>
          <w:rFonts w:eastAsiaTheme="minorEastAsia"/>
          <w:szCs w:val="24"/>
        </w:rPr>
        <w:t>, the maximum transmission power of L = 139 is 35.2 dBm, which is about 5dB less than the 40 dBm EIRP limit. As shown in Table 1, introducing L = 571, 1151 can fully exploit the EIRP budget. For PRACH SCS 480 or 960kHz if supported, reusing L = 139 is sufficient from the EIRP/PSD perspective. L = 571, 1151 results in much more required frequency resource for PRACH, where we cannot see the necessity.</w:t>
      </w:r>
    </w:p>
    <w:p w:rsidR="00A6323D" w:rsidRDefault="00A6323D">
      <w:pPr>
        <w:adjustRightInd w:val="0"/>
        <w:spacing w:after="0" w:afterAutospacing="0"/>
        <w:rPr>
          <w:rFonts w:eastAsiaTheme="minorEastAsia"/>
          <w:szCs w:val="24"/>
        </w:rPr>
      </w:pPr>
    </w:p>
    <w:p w:rsidR="00A6323D" w:rsidRPr="00232ADC" w:rsidRDefault="00DF0C7C" w:rsidP="00232ADC">
      <w:pPr>
        <w:adjustRightInd w:val="0"/>
        <w:spacing w:after="0" w:afterAutospacing="0"/>
        <w:jc w:val="center"/>
        <w:rPr>
          <w:rFonts w:eastAsiaTheme="minorEastAsia"/>
          <w:b/>
          <w:szCs w:val="24"/>
        </w:rPr>
      </w:pPr>
      <w:r w:rsidRPr="00232ADC">
        <w:rPr>
          <w:rFonts w:eastAsiaTheme="minorEastAsia"/>
          <w:b/>
          <w:szCs w:val="24"/>
        </w:rPr>
        <w:t>Table 1.</w:t>
      </w:r>
      <w:r w:rsidR="00232ADC">
        <w:rPr>
          <w:rFonts w:eastAsiaTheme="minorEastAsia"/>
          <w:b/>
          <w:szCs w:val="24"/>
        </w:rPr>
        <w:t xml:space="preserve"> Maximum transmit power under PSD constraint</w:t>
      </w:r>
    </w:p>
    <w:tbl>
      <w:tblPr>
        <w:tblW w:w="6232" w:type="dxa"/>
        <w:jc w:val="center"/>
        <w:tblCellMar>
          <w:left w:w="99" w:type="dxa"/>
          <w:right w:w="99" w:type="dxa"/>
        </w:tblCellMar>
        <w:tblLook w:val="04A0" w:firstRow="1" w:lastRow="0" w:firstColumn="1" w:lastColumn="0" w:noHBand="0" w:noVBand="1"/>
      </w:tblPr>
      <w:tblGrid>
        <w:gridCol w:w="1080"/>
        <w:gridCol w:w="1660"/>
        <w:gridCol w:w="1660"/>
        <w:gridCol w:w="1832"/>
      </w:tblGrid>
      <w:tr w:rsidR="00A6323D" w:rsidTr="00232ADC">
        <w:trPr>
          <w:trHeight w:val="758"/>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SCS (kHz)</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A6323D" w:rsidRDefault="00DF1CB0">
            <w:pPr>
              <w:snapToGrid/>
              <w:spacing w:after="0" w:afterAutospacing="0"/>
              <w:jc w:val="center"/>
              <w:rPr>
                <w:rFonts w:eastAsia="游ゴシック"/>
                <w:b/>
                <w:bCs/>
                <w:iCs/>
                <w:color w:val="000000"/>
                <w:sz w:val="20"/>
                <w:lang w:val="en-US"/>
              </w:rPr>
            </w:pPr>
            <m:oMathPara>
              <m:oMath>
                <m:sSub>
                  <m:sSubPr>
                    <m:ctrlPr>
                      <w:rPr>
                        <w:rFonts w:ascii="Cambria Math" w:eastAsia="游ゴシック" w:hAnsi="Cambria Math"/>
                        <w:b/>
                        <w:bCs/>
                        <w:iCs/>
                        <w:color w:val="000000"/>
                        <w:sz w:val="20"/>
                        <w:lang w:val="en-US"/>
                      </w:rPr>
                    </m:ctrlPr>
                  </m:sSubPr>
                  <m:e>
                    <m:r>
                      <w:rPr>
                        <w:rFonts w:ascii="Cambria Math" w:eastAsia="游ゴシック" w:hAnsi="Cambria Math"/>
                        <w:color w:val="000000"/>
                        <w:sz w:val="20"/>
                        <w:lang w:val="en-US"/>
                      </w:rPr>
                      <m:t>L</m:t>
                    </m:r>
                  </m:e>
                  <m:sub>
                    <m:r>
                      <m:rPr>
                        <m:sty m:val="bi"/>
                      </m:rPr>
                      <w:rPr>
                        <w:rFonts w:ascii="Cambria Math" w:eastAsia="游ゴシック" w:hAnsi="Cambria Math"/>
                        <w:color w:val="000000"/>
                        <w:sz w:val="20"/>
                        <w:lang w:val="en-US"/>
                      </w:rPr>
                      <m:t>RA</m:t>
                    </m:r>
                  </m:sub>
                </m:sSub>
              </m:oMath>
            </m:oMathPara>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BW (MHz)</w:t>
            </w:r>
          </w:p>
        </w:tc>
        <w:tc>
          <w:tcPr>
            <w:tcW w:w="1832" w:type="dxa"/>
            <w:tcBorders>
              <w:top w:val="single" w:sz="4" w:space="0" w:color="auto"/>
              <w:left w:val="nil"/>
              <w:bottom w:val="single" w:sz="4" w:space="0" w:color="auto"/>
              <w:right w:val="single" w:sz="4" w:space="0" w:color="auto"/>
            </w:tcBorders>
            <w:shd w:val="clear" w:color="auto" w:fill="auto"/>
            <w:vAlign w:val="center"/>
          </w:tcPr>
          <w:p w:rsidR="00232ADC" w:rsidRDefault="00232ADC" w:rsidP="00232ADC">
            <w:pPr>
              <w:snapToGrid/>
              <w:spacing w:after="0" w:afterAutospacing="0"/>
              <w:jc w:val="center"/>
              <w:rPr>
                <w:rFonts w:eastAsia="游ゴシック"/>
                <w:bCs/>
                <w:color w:val="000000"/>
                <w:sz w:val="20"/>
                <w:lang w:val="en-US"/>
              </w:rPr>
            </w:pPr>
            <w:r>
              <w:rPr>
                <w:rFonts w:eastAsia="游ゴシック"/>
                <w:bCs/>
                <w:color w:val="000000"/>
                <w:sz w:val="20"/>
                <w:lang w:val="en-US"/>
              </w:rPr>
              <w:t>Max TX power</w:t>
            </w:r>
          </w:p>
          <w:p w:rsidR="00A6323D" w:rsidRDefault="00232ADC" w:rsidP="00232ADC">
            <w:pPr>
              <w:snapToGrid/>
              <w:spacing w:after="0" w:afterAutospacing="0"/>
              <w:jc w:val="center"/>
              <w:rPr>
                <w:rFonts w:eastAsia="游ゴシック"/>
                <w:bCs/>
                <w:color w:val="000000"/>
                <w:sz w:val="20"/>
                <w:lang w:val="en-US"/>
              </w:rPr>
            </w:pPr>
            <w:r>
              <w:rPr>
                <w:rFonts w:eastAsia="游ゴシック"/>
                <w:bCs/>
                <w:color w:val="000000"/>
                <w:sz w:val="20"/>
                <w:lang w:val="en-US"/>
              </w:rPr>
              <w:t>(</w:t>
            </w:r>
            <w:r w:rsidR="00DF0C7C">
              <w:rPr>
                <w:rFonts w:eastAsia="游ゴシック"/>
                <w:bCs/>
                <w:color w:val="000000"/>
                <w:sz w:val="20"/>
                <w:lang w:val="en-US"/>
              </w:rPr>
              <w:t>dBm</w:t>
            </w:r>
            <w:r>
              <w:rPr>
                <w:rFonts w:eastAsia="游ゴシック"/>
                <w:bCs/>
                <w:color w:val="000000"/>
                <w:sz w:val="20"/>
                <w:lang w:val="en-US"/>
              </w:rPr>
              <w:t>)</w:t>
            </w:r>
          </w:p>
        </w:tc>
      </w:tr>
      <w:tr w:rsidR="00A6323D"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120</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16.7</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35.2</w:t>
            </w:r>
          </w:p>
        </w:tc>
      </w:tr>
      <w:tr w:rsidR="00A6323D"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68.5</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41.4</w:t>
            </w:r>
          </w:p>
        </w:tc>
      </w:tr>
      <w:tr w:rsidR="00A6323D"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138.1</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44.4</w:t>
            </w:r>
          </w:p>
        </w:tc>
      </w:tr>
      <w:tr w:rsidR="00A6323D"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480</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66.7</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41.2</w:t>
            </w:r>
          </w:p>
        </w:tc>
      </w:tr>
      <w:tr w:rsidR="00A6323D"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274.1</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47.4</w:t>
            </w:r>
          </w:p>
        </w:tc>
      </w:tr>
      <w:tr w:rsidR="00A6323D"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552.5</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50.4</w:t>
            </w:r>
          </w:p>
        </w:tc>
      </w:tr>
      <w:tr w:rsidR="00A6323D"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lastRenderedPageBreak/>
              <w:t>960</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133.4</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44.3</w:t>
            </w:r>
          </w:p>
        </w:tc>
      </w:tr>
      <w:tr w:rsidR="00A6323D"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rsidR="00A6323D" w:rsidRDefault="00A6323D">
            <w:pPr>
              <w:snapToGrid/>
              <w:spacing w:after="0" w:afterAutospacing="0"/>
              <w:jc w:val="left"/>
              <w:rPr>
                <w:rFonts w:eastAsia="游ゴシック"/>
                <w:b/>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548.2</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50.4</w:t>
            </w:r>
          </w:p>
        </w:tc>
      </w:tr>
      <w:tr w:rsidR="00A6323D"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rsidR="00A6323D" w:rsidRDefault="00A6323D">
            <w:pPr>
              <w:snapToGrid/>
              <w:spacing w:after="0" w:afterAutospacing="0"/>
              <w:jc w:val="left"/>
              <w:rPr>
                <w:rFonts w:eastAsia="游ゴシック"/>
                <w:b/>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1105</w:t>
            </w:r>
          </w:p>
        </w:tc>
        <w:tc>
          <w:tcPr>
            <w:tcW w:w="1832" w:type="dxa"/>
            <w:tcBorders>
              <w:top w:val="nil"/>
              <w:left w:val="nil"/>
              <w:bottom w:val="single" w:sz="4" w:space="0" w:color="auto"/>
              <w:right w:val="single" w:sz="4" w:space="0" w:color="auto"/>
            </w:tcBorders>
            <w:shd w:val="clear" w:color="auto" w:fill="auto"/>
            <w:noWrap/>
            <w:vAlign w:val="center"/>
          </w:tcPr>
          <w:p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53.4</w:t>
            </w:r>
          </w:p>
        </w:tc>
      </w:tr>
    </w:tbl>
    <w:p w:rsidR="00A6323D" w:rsidRDefault="00A6323D">
      <w:pPr>
        <w:adjustRightInd w:val="0"/>
        <w:spacing w:after="0" w:afterAutospacing="0"/>
        <w:rPr>
          <w:rFonts w:eastAsiaTheme="minorEastAsia"/>
          <w:szCs w:val="24"/>
        </w:rPr>
      </w:pPr>
    </w:p>
    <w:p w:rsidR="00A6323D" w:rsidRDefault="00A6323D">
      <w:pPr>
        <w:adjustRightInd w:val="0"/>
        <w:spacing w:after="0" w:afterAutospacing="0"/>
        <w:rPr>
          <w:rFonts w:eastAsiaTheme="minorEastAsia"/>
          <w:szCs w:val="24"/>
        </w:rPr>
      </w:pPr>
    </w:p>
    <w:p w:rsidR="00A6323D" w:rsidRDefault="000605DC">
      <w:pPr>
        <w:adjustRightInd w:val="0"/>
        <w:spacing w:after="0" w:afterAutospacing="0"/>
        <w:rPr>
          <w:rFonts w:eastAsiaTheme="minorEastAsia"/>
          <w:szCs w:val="24"/>
        </w:rPr>
      </w:pPr>
      <w:r>
        <w:rPr>
          <w:rFonts w:eastAsiaTheme="minorEastAsia"/>
          <w:b/>
          <w:szCs w:val="24"/>
        </w:rPr>
        <w:t>Proposal 3</w:t>
      </w:r>
      <w:r w:rsidR="00DF0C7C">
        <w:rPr>
          <w:rFonts w:eastAsiaTheme="minorEastAsia"/>
          <w:szCs w:val="24"/>
        </w:rPr>
        <w:t>: For 480kHz and/or 960 kHz PRACH SCS if supported, it is not needed to introduce preamble sequence lengths of 571 and 1151.</w:t>
      </w:r>
    </w:p>
    <w:p w:rsidR="00A6323D" w:rsidRDefault="00A6323D">
      <w:pPr>
        <w:adjustRightInd w:val="0"/>
        <w:spacing w:after="0" w:afterAutospacing="0"/>
        <w:rPr>
          <w:rFonts w:eastAsiaTheme="minorEastAsia"/>
          <w:szCs w:val="24"/>
          <w:lang w:val="en-US"/>
        </w:rPr>
      </w:pPr>
    </w:p>
    <w:p w:rsidR="00A6323D" w:rsidRDefault="00A6323D">
      <w:pPr>
        <w:adjustRightInd w:val="0"/>
        <w:spacing w:after="0" w:afterAutospacing="0"/>
        <w:rPr>
          <w:rFonts w:eastAsiaTheme="minorEastAsia"/>
          <w:szCs w:val="24"/>
          <w:lang w:val="en-US"/>
        </w:rPr>
      </w:pPr>
    </w:p>
    <w:p w:rsidR="00A6323D" w:rsidRDefault="00DF0C7C">
      <w:pPr>
        <w:pStyle w:val="10"/>
        <w:numPr>
          <w:ilvl w:val="1"/>
          <w:numId w:val="13"/>
        </w:numPr>
        <w:spacing w:before="0" w:after="180"/>
        <w:rPr>
          <w:rFonts w:ascii="Times New Roman" w:hAnsi="Times New Roman"/>
          <w:sz w:val="28"/>
        </w:rPr>
      </w:pPr>
      <w:r>
        <w:rPr>
          <w:rFonts w:ascii="Times New Roman" w:hAnsi="Times New Roman"/>
          <w:sz w:val="28"/>
        </w:rPr>
        <w:t xml:space="preserve"> RA-RNTI calculation</w:t>
      </w:r>
    </w:p>
    <w:p w:rsidR="00A6323D" w:rsidRDefault="00DF0C7C">
      <w:pPr>
        <w:adjustRightInd w:val="0"/>
        <w:spacing w:after="0" w:afterAutospacing="0"/>
        <w:rPr>
          <w:rFonts w:eastAsiaTheme="minorEastAsia"/>
          <w:szCs w:val="24"/>
        </w:rPr>
      </w:pPr>
      <w:r>
        <w:rPr>
          <w:rFonts w:eastAsiaTheme="minorEastAsia"/>
          <w:szCs w:val="24"/>
        </w:rPr>
        <w:t>The following agreement has been achieved in RAN1 104-e meeting:</w:t>
      </w:r>
    </w:p>
    <w:p w:rsidR="00A6323D" w:rsidRDefault="00DF0C7C">
      <w:pPr>
        <w:pBdr>
          <w:top w:val="single" w:sz="4" w:space="1" w:color="auto"/>
          <w:left w:val="single" w:sz="4" w:space="4" w:color="auto"/>
          <w:bottom w:val="single" w:sz="4" w:space="1" w:color="auto"/>
          <w:right w:val="single" w:sz="4" w:space="4" w:color="auto"/>
        </w:pBd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pBdr>
          <w:top w:val="single" w:sz="4" w:space="1" w:color="auto"/>
          <w:left w:val="single" w:sz="4" w:space="4" w:color="auto"/>
          <w:bottom w:val="single" w:sz="4" w:space="1" w:color="auto"/>
          <w:right w:val="single" w:sz="4" w:space="4" w:color="auto"/>
        </w:pBdr>
        <w:snapToGrid/>
        <w:spacing w:after="0" w:afterAutospacing="0"/>
        <w:jc w:val="left"/>
        <w:rPr>
          <w:rFonts w:eastAsia="Batang"/>
          <w:sz w:val="20"/>
          <w:szCs w:val="24"/>
          <w:lang w:eastAsia="zh-CN"/>
        </w:rPr>
      </w:pPr>
      <w:r>
        <w:rPr>
          <w:rFonts w:eastAsia="Batang"/>
          <w:sz w:val="20"/>
          <w:szCs w:val="24"/>
          <w:lang w:eastAsia="zh-CN"/>
        </w:rPr>
        <w:t xml:space="preserve">If 480 and/or 960 kHz PRACH SCS is supported, RAN1 should study </w:t>
      </w:r>
      <w:proofErr w:type="gramStart"/>
      <w:r>
        <w:rPr>
          <w:rFonts w:eastAsia="Batang"/>
          <w:sz w:val="20"/>
          <w:szCs w:val="24"/>
          <w:lang w:eastAsia="zh-CN"/>
        </w:rPr>
        <w:t>whether or not</w:t>
      </w:r>
      <w:proofErr w:type="gramEnd"/>
      <w:r>
        <w:rPr>
          <w:rFonts w:eastAsia="Batang"/>
          <w:sz w:val="20"/>
          <w:szCs w:val="24"/>
          <w:lang w:eastAsia="zh-CN"/>
        </w:rPr>
        <w:t xml:space="preserve"> the current RA-RNTI calculation and PRACH identification in RAR correctly provides unique identification of PRACH.</w:t>
      </w:r>
    </w:p>
    <w:p w:rsidR="00A6323D" w:rsidRDefault="00A6323D">
      <w:pPr>
        <w:adjustRightInd w:val="0"/>
        <w:spacing w:after="0" w:afterAutospacing="0"/>
        <w:rPr>
          <w:rFonts w:eastAsiaTheme="minorEastAsia"/>
          <w:szCs w:val="24"/>
        </w:rPr>
      </w:pPr>
    </w:p>
    <w:p w:rsidR="00A6323D" w:rsidRDefault="00DF0C7C">
      <w:pPr>
        <w:adjustRightInd w:val="0"/>
        <w:spacing w:after="0" w:afterAutospacing="0"/>
        <w:rPr>
          <w:rFonts w:eastAsiaTheme="minorEastAsia"/>
          <w:szCs w:val="24"/>
        </w:rPr>
      </w:pPr>
      <w:r>
        <w:rPr>
          <w:rFonts w:eastAsiaTheme="minorEastAsia" w:hint="eastAsia"/>
          <w:szCs w:val="24"/>
        </w:rPr>
        <w:t>In Rel-16,</w:t>
      </w:r>
      <w:r>
        <w:rPr>
          <w:rFonts w:eastAsiaTheme="minorEastAsia"/>
          <w:szCs w:val="24"/>
        </w:rPr>
        <w:t xml:space="preserve"> RA-RNTI is calculated by the following equation assuming maximum PRACH SCS of 120kHz:</w:t>
      </w:r>
      <w:r>
        <w:rPr>
          <w:rFonts w:eastAsiaTheme="minorEastAsia" w:hint="eastAsia"/>
          <w:szCs w:val="24"/>
        </w:rPr>
        <w:t xml:space="preserve"> </w:t>
      </w:r>
    </w:p>
    <w:p w:rsidR="00A6323D" w:rsidRDefault="00DF0C7C">
      <w:pPr>
        <w:adjustRightInd w:val="0"/>
        <w:spacing w:after="0" w:afterAutospacing="0"/>
        <w:rPr>
          <w:rFonts w:eastAsiaTheme="minorEastAsia"/>
          <w:szCs w:val="24"/>
          <w:lang w:val="en-US"/>
        </w:rPr>
      </w:pPr>
      <w:r>
        <w:rPr>
          <w:rFonts w:eastAsiaTheme="minorEastAsia"/>
          <w:szCs w:val="24"/>
          <w:lang w:val="en-US"/>
        </w:rPr>
        <w:t>RA-RNTI = 1 + s_id + 14 × t_id + 14 × 80 × f_id + 14 × 80 × 8 × ul_carrier_id (0, 1</w:t>
      </w:r>
      <w:proofErr w:type="gramStart"/>
      <w:r>
        <w:rPr>
          <w:rFonts w:eastAsiaTheme="minorEastAsia"/>
          <w:szCs w:val="24"/>
          <w:lang w:val="en-US"/>
        </w:rPr>
        <w:t xml:space="preserve">) </w:t>
      </w:r>
      <w:r w:rsidR="00C605A0">
        <w:rPr>
          <w:rFonts w:eastAsiaTheme="minorEastAsia"/>
          <w:szCs w:val="24"/>
          <w:lang w:val="en-US"/>
        </w:rPr>
        <w:t xml:space="preserve"> (</w:t>
      </w:r>
      <w:proofErr w:type="gramEnd"/>
      <w:r w:rsidR="00C605A0" w:rsidRPr="00C605A0">
        <w:rPr>
          <w:rFonts w:eastAsiaTheme="minorEastAsia"/>
          <w:b/>
          <w:szCs w:val="24"/>
          <w:lang w:val="en-US"/>
        </w:rPr>
        <w:t>Eq. 1</w:t>
      </w:r>
      <w:r w:rsidR="00C605A0">
        <w:rPr>
          <w:rFonts w:eastAsiaTheme="minorEastAsia"/>
          <w:szCs w:val="24"/>
          <w:lang w:val="en-US"/>
        </w:rPr>
        <w:t>)</w:t>
      </w:r>
    </w:p>
    <w:p w:rsidR="00A6323D" w:rsidRDefault="00A6323D">
      <w:pPr>
        <w:adjustRightInd w:val="0"/>
        <w:spacing w:after="0" w:afterAutospacing="0"/>
        <w:rPr>
          <w:rFonts w:eastAsiaTheme="minorEastAsia"/>
          <w:szCs w:val="24"/>
          <w:lang w:val="en-US"/>
        </w:rPr>
      </w:pPr>
    </w:p>
    <w:p w:rsidR="00A6323D" w:rsidRDefault="00DF0C7C">
      <w:pPr>
        <w:adjustRightInd w:val="0"/>
        <w:spacing w:after="0" w:afterAutospacing="0"/>
        <w:rPr>
          <w:rFonts w:eastAsiaTheme="minorEastAsia"/>
          <w:szCs w:val="24"/>
        </w:rPr>
      </w:pPr>
      <w:r>
        <w:rPr>
          <w:rFonts w:eastAsiaTheme="minorEastAsia" w:hint="eastAsia"/>
          <w:szCs w:val="24"/>
        </w:rPr>
        <w:t xml:space="preserve">If </w:t>
      </w:r>
      <w:r>
        <w:rPr>
          <w:rFonts w:eastAsiaTheme="minorEastAsia"/>
          <w:szCs w:val="24"/>
        </w:rPr>
        <w:t>higher PRACH SCS (e.g., 480kHz) is introduced, a directly modified equation could be:</w:t>
      </w:r>
    </w:p>
    <w:p w:rsidR="00A6323D" w:rsidRDefault="00DF0C7C">
      <w:pPr>
        <w:adjustRightInd w:val="0"/>
        <w:spacing w:after="0" w:afterAutospacing="0"/>
        <w:rPr>
          <w:rFonts w:eastAsiaTheme="minorEastAsia"/>
          <w:szCs w:val="24"/>
          <w:lang w:val="en-US"/>
        </w:rPr>
      </w:pPr>
      <w:r>
        <w:rPr>
          <w:rFonts w:eastAsiaTheme="minorEastAsia"/>
          <w:szCs w:val="24"/>
          <w:lang w:val="en-US"/>
        </w:rPr>
        <w:t>RA-RNTI = 1 + s_id + 14 × t_id + 14 × 320 × f_id + 14 × 320 × 8 × ul_carrier_id (0, 1</w:t>
      </w:r>
      <w:proofErr w:type="gramStart"/>
      <w:r>
        <w:rPr>
          <w:rFonts w:eastAsiaTheme="minorEastAsia"/>
          <w:szCs w:val="24"/>
          <w:lang w:val="en-US"/>
        </w:rPr>
        <w:t xml:space="preserve">) </w:t>
      </w:r>
      <w:r w:rsidR="00C605A0">
        <w:rPr>
          <w:rFonts w:eastAsiaTheme="minorEastAsia"/>
          <w:szCs w:val="24"/>
          <w:lang w:val="en-US"/>
        </w:rPr>
        <w:t xml:space="preserve"> (</w:t>
      </w:r>
      <w:proofErr w:type="gramEnd"/>
      <w:r w:rsidR="00C605A0">
        <w:rPr>
          <w:rFonts w:eastAsiaTheme="minorEastAsia"/>
          <w:b/>
          <w:szCs w:val="24"/>
          <w:lang w:val="en-US"/>
        </w:rPr>
        <w:t>Eq. 2</w:t>
      </w:r>
      <w:r w:rsidR="00C605A0">
        <w:rPr>
          <w:rFonts w:eastAsiaTheme="minorEastAsia"/>
          <w:szCs w:val="24"/>
          <w:lang w:val="en-US"/>
        </w:rPr>
        <w:t>)</w:t>
      </w:r>
    </w:p>
    <w:p w:rsidR="00C605A0" w:rsidRDefault="00C605A0">
      <w:pPr>
        <w:adjustRightInd w:val="0"/>
        <w:spacing w:after="0" w:afterAutospacing="0"/>
        <w:rPr>
          <w:rFonts w:eastAsiaTheme="minorEastAsia"/>
          <w:szCs w:val="24"/>
          <w:lang w:val="en-US"/>
        </w:rPr>
      </w:pPr>
    </w:p>
    <w:p w:rsidR="00C605A0" w:rsidRDefault="00DF0C7C">
      <w:pPr>
        <w:adjustRightInd w:val="0"/>
        <w:spacing w:after="0" w:afterAutospacing="0"/>
        <w:rPr>
          <w:rFonts w:eastAsiaTheme="minorEastAsia"/>
          <w:szCs w:val="24"/>
          <w:lang w:val="en-US"/>
        </w:rPr>
      </w:pPr>
      <w:r>
        <w:rPr>
          <w:rFonts w:eastAsiaTheme="minorEastAsia" w:hint="eastAsia"/>
          <w:szCs w:val="24"/>
          <w:lang w:val="en-US"/>
        </w:rPr>
        <w:t xml:space="preserve">However, </w:t>
      </w:r>
      <w:r>
        <w:rPr>
          <w:rFonts w:eastAsiaTheme="minorEastAsia"/>
          <w:szCs w:val="24"/>
          <w:lang w:val="en-US"/>
        </w:rPr>
        <w:t>the range of RA-RNTI becomes [1, 71680] and 16 bits are not sufficient to express all the possible values.</w:t>
      </w:r>
      <w:r w:rsidR="00C605A0">
        <w:rPr>
          <w:rFonts w:eastAsiaTheme="minorEastAsia"/>
          <w:szCs w:val="24"/>
          <w:lang w:val="en-US"/>
        </w:rPr>
        <w:t xml:space="preserve"> A fur</w:t>
      </w:r>
      <w:r w:rsidR="00DA6D70">
        <w:rPr>
          <w:rFonts w:eastAsiaTheme="minorEastAsia"/>
          <w:szCs w:val="24"/>
          <w:lang w:val="en-US"/>
        </w:rPr>
        <w:t>ther modification could be adding a</w:t>
      </w:r>
      <w:r w:rsidR="00C605A0">
        <w:rPr>
          <w:rFonts w:eastAsiaTheme="minorEastAsia"/>
          <w:szCs w:val="24"/>
          <w:lang w:val="en-US"/>
        </w:rPr>
        <w:t xml:space="preserve"> </w:t>
      </w:r>
      <w:proofErr w:type="gramStart"/>
      <w:r w:rsidR="00C605A0">
        <w:rPr>
          <w:rFonts w:eastAsiaTheme="minorEastAsia"/>
          <w:szCs w:val="24"/>
          <w:lang w:val="en-US"/>
        </w:rPr>
        <w:t>mod(</w:t>
      </w:r>
      <w:proofErr w:type="gramEnd"/>
      <w:r w:rsidR="00C605A0">
        <w:rPr>
          <w:rFonts w:eastAsiaTheme="minorEastAsia"/>
          <w:szCs w:val="24"/>
          <w:lang w:val="en-US"/>
        </w:rPr>
        <w:t>X, 65536) function</w:t>
      </w:r>
      <w:r w:rsidR="00DA6D70">
        <w:rPr>
          <w:rFonts w:eastAsiaTheme="minorEastAsia"/>
          <w:szCs w:val="24"/>
          <w:lang w:val="en-US"/>
        </w:rPr>
        <w:t xml:space="preserve"> in the equation</w:t>
      </w:r>
      <w:r w:rsidR="00C605A0">
        <w:rPr>
          <w:rFonts w:eastAsiaTheme="minorEastAsia"/>
          <w:szCs w:val="24"/>
          <w:lang w:val="en-US"/>
        </w:rPr>
        <w:t xml:space="preserve">, which is still problematic due to that the computed RA-RNTI might corresponds to different PRACH occasions. </w:t>
      </w:r>
    </w:p>
    <w:p w:rsidR="00C605A0" w:rsidRDefault="00C605A0">
      <w:pPr>
        <w:adjustRightInd w:val="0"/>
        <w:spacing w:after="0" w:afterAutospacing="0"/>
        <w:rPr>
          <w:rFonts w:eastAsiaTheme="minorEastAsia"/>
          <w:szCs w:val="24"/>
          <w:lang w:val="en-US"/>
        </w:rPr>
      </w:pPr>
    </w:p>
    <w:p w:rsidR="00A6323D" w:rsidRPr="00C605A0" w:rsidRDefault="00DF0C7C">
      <w:pPr>
        <w:adjustRightInd w:val="0"/>
        <w:spacing w:after="0" w:afterAutospacing="0"/>
        <w:rPr>
          <w:rFonts w:eastAsiaTheme="minorEastAsia"/>
          <w:szCs w:val="24"/>
          <w:lang w:val="en-US"/>
        </w:rPr>
      </w:pPr>
      <w:r>
        <w:rPr>
          <w:rFonts w:eastAsiaTheme="minorEastAsia"/>
          <w:szCs w:val="24"/>
        </w:rPr>
        <w:t xml:space="preserve">Since within a system frame, not all the symbols/slots are mapped with PRACH occasions, one may consider that unique RA-RNTI values can be generated for all the PRACH occasions even with Eq. 1 without </w:t>
      </w:r>
      <w:r w:rsidR="00355713">
        <w:rPr>
          <w:rFonts w:eastAsiaTheme="minorEastAsia"/>
          <w:szCs w:val="24"/>
        </w:rPr>
        <w:t>modification</w:t>
      </w:r>
      <w:r>
        <w:rPr>
          <w:rFonts w:eastAsiaTheme="minorEastAsia"/>
          <w:szCs w:val="24"/>
        </w:rPr>
        <w:t>.</w:t>
      </w:r>
      <w:r w:rsidR="00E227ED">
        <w:rPr>
          <w:rFonts w:eastAsiaTheme="minorEastAsia"/>
          <w:szCs w:val="24"/>
        </w:rPr>
        <w:t xml:space="preserve"> We found that is not the case.</w:t>
      </w:r>
      <w:r>
        <w:rPr>
          <w:rFonts w:eastAsiaTheme="minorEastAsia"/>
          <w:szCs w:val="24"/>
        </w:rPr>
        <w:t xml:space="preserve"> </w:t>
      </w:r>
      <w:r w:rsidR="00C605A0">
        <w:rPr>
          <w:rFonts w:eastAsiaTheme="minorEastAsia"/>
          <w:szCs w:val="24"/>
        </w:rPr>
        <w:t>F</w:t>
      </w:r>
      <w:r>
        <w:rPr>
          <w:rFonts w:eastAsiaTheme="minorEastAsia" w:hint="eastAsia"/>
          <w:szCs w:val="24"/>
        </w:rPr>
        <w:t xml:space="preserve">or </w:t>
      </w:r>
      <w:r>
        <w:rPr>
          <w:rFonts w:eastAsiaTheme="minorEastAsia"/>
          <w:szCs w:val="24"/>
        </w:rPr>
        <w:t>480kHz and/or 960kHz PRACH SCS,</w:t>
      </w:r>
      <w:r w:rsidR="001A4FD8">
        <w:rPr>
          <w:rFonts w:eastAsiaTheme="minorEastAsia" w:hint="eastAsia"/>
          <w:szCs w:val="24"/>
        </w:rPr>
        <w:t xml:space="preserve"> </w:t>
      </w:r>
      <w:proofErr w:type="gramStart"/>
      <w:r w:rsidR="001A4FD8">
        <w:rPr>
          <w:rFonts w:eastAsiaTheme="minorEastAsia" w:hint="eastAsia"/>
          <w:szCs w:val="24"/>
        </w:rPr>
        <w:t>assum</w:t>
      </w:r>
      <w:r w:rsidR="001A4FD8">
        <w:rPr>
          <w:rFonts w:eastAsiaTheme="minorEastAsia"/>
          <w:szCs w:val="24"/>
        </w:rPr>
        <w:t>ing</w:t>
      </w:r>
      <w:r>
        <w:rPr>
          <w:rFonts w:eastAsiaTheme="minorEastAsia" w:hint="eastAsia"/>
          <w:szCs w:val="24"/>
        </w:rPr>
        <w:t xml:space="preserve"> that</w:t>
      </w:r>
      <w:proofErr w:type="gramEnd"/>
      <w:r>
        <w:rPr>
          <w:rFonts w:eastAsiaTheme="minorEastAsia" w:hint="eastAsia"/>
          <w:szCs w:val="24"/>
        </w:rPr>
        <w:t xml:space="preserve"> </w:t>
      </w:r>
      <w:r>
        <w:rPr>
          <w:rFonts w:eastAsiaTheme="minorEastAsia"/>
          <w:szCs w:val="24"/>
        </w:rPr>
        <w:t xml:space="preserve">random access configurations for FR2 table is </w:t>
      </w:r>
      <w:r w:rsidR="001A4FD8">
        <w:rPr>
          <w:rFonts w:eastAsiaTheme="minorEastAsia"/>
          <w:szCs w:val="24"/>
        </w:rPr>
        <w:t>reused with minor modifications,</w:t>
      </w:r>
      <w:r>
        <w:rPr>
          <w:rFonts w:eastAsiaTheme="minorEastAsia"/>
          <w:szCs w:val="24"/>
        </w:rPr>
        <w:t xml:space="preserve"> </w:t>
      </w:r>
      <w:r w:rsidR="001A4FD8">
        <w:rPr>
          <w:rFonts w:eastAsiaTheme="minorEastAsia"/>
          <w:szCs w:val="24"/>
        </w:rPr>
        <w:t>i</w:t>
      </w:r>
      <w:r w:rsidR="0066568B">
        <w:rPr>
          <w:rFonts w:eastAsiaTheme="minorEastAsia"/>
          <w:szCs w:val="24"/>
        </w:rPr>
        <w:t>t is</w:t>
      </w:r>
      <w:r w:rsidR="001A4FD8">
        <w:rPr>
          <w:rFonts w:eastAsiaTheme="minorEastAsia"/>
          <w:szCs w:val="24"/>
        </w:rPr>
        <w:t xml:space="preserve"> observed</w:t>
      </w:r>
      <w:r w:rsidR="00C605A0">
        <w:rPr>
          <w:rFonts w:eastAsiaTheme="minorEastAsia"/>
          <w:szCs w:val="24"/>
        </w:rPr>
        <w:t xml:space="preserve"> that i</w:t>
      </w:r>
      <w:r>
        <w:rPr>
          <w:rFonts w:eastAsiaTheme="minorEastAsia"/>
          <w:szCs w:val="24"/>
        </w:rPr>
        <w:t>n some rows of this table, PRACH occasions of different frequency-time domain allocation</w:t>
      </w:r>
      <w:r w:rsidR="00EA32DA">
        <w:rPr>
          <w:rFonts w:eastAsiaTheme="minorEastAsia"/>
          <w:szCs w:val="24"/>
        </w:rPr>
        <w:t>s</w:t>
      </w:r>
      <w:r>
        <w:rPr>
          <w:rFonts w:eastAsiaTheme="minorEastAsia"/>
          <w:szCs w:val="24"/>
        </w:rPr>
        <w:t xml:space="preserve"> result in the same RA-RNTI. Hence, modifications on the equation or the table or other aspect enhancements are required.</w:t>
      </w:r>
    </w:p>
    <w:p w:rsidR="00A6323D" w:rsidRDefault="00A6323D">
      <w:pPr>
        <w:adjustRightInd w:val="0"/>
        <w:spacing w:after="0" w:afterAutospacing="0"/>
        <w:rPr>
          <w:rFonts w:eastAsiaTheme="minorEastAsia"/>
          <w:szCs w:val="24"/>
        </w:rPr>
      </w:pPr>
    </w:p>
    <w:p w:rsidR="00A6323D" w:rsidRDefault="00DF0C7C">
      <w:pPr>
        <w:adjustRightInd w:val="0"/>
        <w:spacing w:after="0" w:afterAutospacing="0"/>
        <w:rPr>
          <w:rFonts w:eastAsiaTheme="minorEastAsia"/>
          <w:szCs w:val="24"/>
        </w:rPr>
      </w:pPr>
      <w:r>
        <w:rPr>
          <w:rFonts w:eastAsiaTheme="minorEastAsia"/>
          <w:b/>
          <w:szCs w:val="24"/>
        </w:rPr>
        <w:t xml:space="preserve">Proposal </w:t>
      </w:r>
      <w:r w:rsidR="00E227ED">
        <w:rPr>
          <w:rFonts w:eastAsiaTheme="minorEastAsia"/>
          <w:b/>
          <w:szCs w:val="24"/>
        </w:rPr>
        <w:t>4</w:t>
      </w:r>
      <w:r>
        <w:rPr>
          <w:rFonts w:eastAsiaTheme="minorEastAsia"/>
          <w:szCs w:val="24"/>
        </w:rPr>
        <w:t>: Modify the calculation of RA-RNTI to accommodate 480kHz and/or 960kHz PRACH SCS if supported.</w:t>
      </w:r>
    </w:p>
    <w:p w:rsidR="00A6323D" w:rsidRDefault="00A6323D">
      <w:pPr>
        <w:adjustRightInd w:val="0"/>
        <w:spacing w:after="0" w:afterAutospacing="0"/>
        <w:rPr>
          <w:rFonts w:eastAsiaTheme="minorEastAsia"/>
          <w:szCs w:val="24"/>
        </w:rPr>
      </w:pPr>
    </w:p>
    <w:p w:rsidR="00A6323D" w:rsidRDefault="00DF0C7C">
      <w:pPr>
        <w:adjustRightInd w:val="0"/>
        <w:spacing w:after="0" w:afterAutospacing="0"/>
        <w:rPr>
          <w:rFonts w:eastAsiaTheme="minorEastAsia"/>
          <w:szCs w:val="24"/>
        </w:rPr>
      </w:pPr>
      <w:r>
        <w:rPr>
          <w:rFonts w:eastAsiaTheme="minorEastAsia"/>
          <w:b/>
          <w:szCs w:val="24"/>
        </w:rPr>
        <w:t xml:space="preserve">Proposal </w:t>
      </w:r>
      <w:r w:rsidR="00A52A51">
        <w:rPr>
          <w:rFonts w:eastAsiaTheme="minorEastAsia"/>
          <w:b/>
          <w:szCs w:val="24"/>
        </w:rPr>
        <w:t>5</w:t>
      </w:r>
      <w:r>
        <w:rPr>
          <w:rFonts w:eastAsiaTheme="minorEastAsia"/>
          <w:szCs w:val="24"/>
        </w:rPr>
        <w:t>:</w:t>
      </w:r>
      <w:r w:rsidR="00E227ED">
        <w:rPr>
          <w:rFonts w:eastAsiaTheme="minorEastAsia"/>
          <w:szCs w:val="24"/>
        </w:rPr>
        <w:t xml:space="preserve"> </w:t>
      </w:r>
      <w:r w:rsidR="00FD66E7">
        <w:rPr>
          <w:rFonts w:eastAsiaTheme="minorEastAsia"/>
          <w:szCs w:val="24"/>
        </w:rPr>
        <w:t>At least t</w:t>
      </w:r>
      <w:r w:rsidR="00E227ED">
        <w:rPr>
          <w:rFonts w:eastAsiaTheme="minorEastAsia"/>
          <w:szCs w:val="24"/>
        </w:rPr>
        <w:t>he following alternatives on calculation of RA-RNTI to accommodate 480kHz and/or 960kHz PRACH SCS</w:t>
      </w:r>
      <w:r w:rsidR="00FD66E7">
        <w:rPr>
          <w:rFonts w:eastAsiaTheme="minorEastAsia"/>
          <w:szCs w:val="24"/>
        </w:rPr>
        <w:t xml:space="preserve"> can be discussed</w:t>
      </w:r>
      <w:r w:rsidR="00FD66E7">
        <w:rPr>
          <w:rFonts w:eastAsiaTheme="minorEastAsia" w:hint="eastAsia"/>
          <w:szCs w:val="24"/>
        </w:rPr>
        <w:t>:</w:t>
      </w:r>
    </w:p>
    <w:p w:rsidR="00A6323D" w:rsidRDefault="004D43EC">
      <w:pPr>
        <w:pStyle w:val="1b"/>
        <w:numPr>
          <w:ilvl w:val="0"/>
          <w:numId w:val="18"/>
        </w:numPr>
        <w:adjustRightInd w:val="0"/>
        <w:spacing w:after="0" w:afterAutospacing="0"/>
        <w:ind w:firstLineChars="0"/>
        <w:rPr>
          <w:rFonts w:eastAsiaTheme="minorEastAsia"/>
          <w:szCs w:val="24"/>
        </w:rPr>
      </w:pPr>
      <w:r>
        <w:rPr>
          <w:rFonts w:eastAsiaTheme="minorEastAsia" w:hint="eastAsia"/>
          <w:szCs w:val="24"/>
        </w:rPr>
        <w:t>Alt 1</w:t>
      </w:r>
      <w:r>
        <w:rPr>
          <w:rFonts w:eastAsiaTheme="minorEastAsia"/>
          <w:szCs w:val="24"/>
        </w:rPr>
        <w:t>:</w:t>
      </w:r>
      <w:r w:rsidR="00DF0C7C">
        <w:rPr>
          <w:rFonts w:eastAsiaTheme="minorEastAsia"/>
          <w:szCs w:val="24"/>
        </w:rPr>
        <w:t xml:space="preserve"> Modify the equation co</w:t>
      </w:r>
      <w:r w:rsidR="004F1977">
        <w:rPr>
          <w:rFonts w:eastAsiaTheme="minorEastAsia"/>
          <w:szCs w:val="24"/>
        </w:rPr>
        <w:t>nsidering new maximum PRACH SCS and available</w:t>
      </w:r>
      <w:r w:rsidR="00DF0C7C">
        <w:rPr>
          <w:rFonts w:eastAsiaTheme="minorEastAsia"/>
          <w:szCs w:val="24"/>
        </w:rPr>
        <w:t xml:space="preserve"> RNTI value</w:t>
      </w:r>
      <w:r w:rsidR="004F1977">
        <w:rPr>
          <w:rFonts w:eastAsiaTheme="minorEastAsia"/>
          <w:szCs w:val="24"/>
        </w:rPr>
        <w:t xml:space="preserve"> range</w:t>
      </w:r>
      <w:r w:rsidR="00DF0C7C">
        <w:rPr>
          <w:rFonts w:eastAsiaTheme="minorEastAsia"/>
          <w:szCs w:val="24"/>
        </w:rPr>
        <w:t>.</w:t>
      </w:r>
      <w:r w:rsidR="00DF0C7C">
        <w:rPr>
          <w:rFonts w:eastAsiaTheme="minorEastAsia" w:hint="eastAsia"/>
          <w:szCs w:val="24"/>
        </w:rPr>
        <w:t xml:space="preserve"> </w:t>
      </w:r>
    </w:p>
    <w:p w:rsidR="00A6323D" w:rsidRDefault="00DF0C7C">
      <w:pPr>
        <w:pStyle w:val="1b"/>
        <w:numPr>
          <w:ilvl w:val="0"/>
          <w:numId w:val="18"/>
        </w:numPr>
        <w:adjustRightInd w:val="0"/>
        <w:spacing w:after="0" w:afterAutospacing="0"/>
        <w:ind w:firstLineChars="0"/>
        <w:rPr>
          <w:rFonts w:eastAsiaTheme="minorEastAsia"/>
          <w:szCs w:val="24"/>
        </w:rPr>
      </w:pPr>
      <w:r>
        <w:rPr>
          <w:rFonts w:eastAsiaTheme="minorEastAsia"/>
          <w:szCs w:val="24"/>
        </w:rPr>
        <w:t>Alt 2: Reus</w:t>
      </w:r>
      <w:r w:rsidR="00B75427">
        <w:rPr>
          <w:rFonts w:eastAsiaTheme="minorEastAsia"/>
          <w:szCs w:val="24"/>
        </w:rPr>
        <w:t>e the Rel-16 equation</w:t>
      </w:r>
      <w:r>
        <w:rPr>
          <w:rFonts w:eastAsiaTheme="minorEastAsia"/>
          <w:szCs w:val="24"/>
        </w:rPr>
        <w:t xml:space="preserve"> and the additional information is indicated by DCI bits.</w:t>
      </w:r>
    </w:p>
    <w:p w:rsidR="00A6323D" w:rsidRDefault="00DF0C7C">
      <w:pPr>
        <w:pStyle w:val="1b"/>
        <w:numPr>
          <w:ilvl w:val="0"/>
          <w:numId w:val="18"/>
        </w:numPr>
        <w:adjustRightInd w:val="0"/>
        <w:spacing w:after="0" w:afterAutospacing="0"/>
        <w:ind w:firstLineChars="0"/>
        <w:rPr>
          <w:rFonts w:eastAsiaTheme="minorEastAsia"/>
          <w:szCs w:val="24"/>
        </w:rPr>
      </w:pPr>
      <w:r>
        <w:rPr>
          <w:rFonts w:eastAsiaTheme="minorEastAsia"/>
          <w:szCs w:val="24"/>
        </w:rPr>
        <w:t xml:space="preserve">Alt 3: Exploit sparse nature of PRACH occasion </w:t>
      </w:r>
      <w:r w:rsidR="0095037A">
        <w:rPr>
          <w:rFonts w:eastAsiaTheme="minorEastAsia"/>
          <w:szCs w:val="24"/>
        </w:rPr>
        <w:t>allocations in time domain</w:t>
      </w:r>
      <w:r>
        <w:rPr>
          <w:rFonts w:eastAsiaTheme="minorEastAsia"/>
          <w:szCs w:val="24"/>
        </w:rPr>
        <w:t>.</w:t>
      </w:r>
    </w:p>
    <w:p w:rsidR="00A6323D" w:rsidRDefault="00DF0C7C">
      <w:pPr>
        <w:pStyle w:val="1b"/>
        <w:numPr>
          <w:ilvl w:val="0"/>
          <w:numId w:val="18"/>
        </w:numPr>
        <w:adjustRightInd w:val="0"/>
        <w:spacing w:after="0" w:afterAutospacing="0"/>
        <w:ind w:firstLineChars="0"/>
        <w:rPr>
          <w:rFonts w:eastAsiaTheme="minorEastAsia"/>
          <w:szCs w:val="24"/>
        </w:rPr>
      </w:pPr>
      <w:r>
        <w:rPr>
          <w:rFonts w:eastAsiaTheme="minorEastAsia"/>
          <w:szCs w:val="24"/>
        </w:rPr>
        <w:t xml:space="preserve">Alt 4: Constraint RO </w:t>
      </w:r>
      <w:r w:rsidR="0095037A">
        <w:rPr>
          <w:rFonts w:eastAsiaTheme="minorEastAsia"/>
          <w:szCs w:val="24"/>
        </w:rPr>
        <w:t>allocation</w:t>
      </w:r>
      <w:r>
        <w:rPr>
          <w:rFonts w:eastAsiaTheme="minorEastAsia"/>
          <w:szCs w:val="24"/>
        </w:rPr>
        <w:t xml:space="preserve"> period/positions.</w:t>
      </w:r>
    </w:p>
    <w:p w:rsidR="00A6323D" w:rsidRDefault="00A6323D">
      <w:pPr>
        <w:adjustRightInd w:val="0"/>
        <w:spacing w:after="0" w:afterAutospacing="0"/>
        <w:rPr>
          <w:rFonts w:eastAsiaTheme="minorEastAsia"/>
          <w:szCs w:val="24"/>
        </w:rPr>
      </w:pPr>
    </w:p>
    <w:p w:rsidR="007F2BE7" w:rsidRDefault="007F2BE7">
      <w:pPr>
        <w:adjustRightInd w:val="0"/>
        <w:spacing w:after="0" w:afterAutospacing="0"/>
        <w:rPr>
          <w:rFonts w:eastAsiaTheme="minorEastAsia"/>
          <w:szCs w:val="24"/>
        </w:rPr>
      </w:pPr>
    </w:p>
    <w:p w:rsidR="00A6323D" w:rsidRDefault="00DF0C7C">
      <w:pPr>
        <w:pStyle w:val="10"/>
        <w:numPr>
          <w:ilvl w:val="0"/>
          <w:numId w:val="13"/>
        </w:numPr>
        <w:spacing w:before="0" w:after="180"/>
        <w:rPr>
          <w:rFonts w:ascii="Times New Roman" w:hAnsi="Times New Roman"/>
        </w:rPr>
      </w:pPr>
      <w:r>
        <w:rPr>
          <w:rFonts w:ascii="Times New Roman" w:hAnsi="Times New Roman"/>
        </w:rPr>
        <w:lastRenderedPageBreak/>
        <w:t>Conclusion</w:t>
      </w:r>
    </w:p>
    <w:p w:rsidR="00A6323D" w:rsidRDefault="00DF0C7C">
      <w:pPr>
        <w:adjustRightInd w:val="0"/>
        <w:spacing w:after="0" w:afterAutospacing="0"/>
        <w:rPr>
          <w:rFonts w:eastAsiaTheme="minorEastAsia"/>
          <w:szCs w:val="24"/>
          <w:lang w:val="en-US"/>
        </w:rPr>
      </w:pPr>
      <w:r>
        <w:rPr>
          <w:rFonts w:eastAsiaTheme="minorEastAsia"/>
          <w:szCs w:val="24"/>
          <w:lang w:val="en-US"/>
        </w:rPr>
        <w:t xml:space="preserve">In this contribution, we </w:t>
      </w:r>
      <w:bookmarkStart w:id="6" w:name="_References"/>
      <w:bookmarkEnd w:id="6"/>
      <w:r>
        <w:rPr>
          <w:rFonts w:eastAsiaTheme="minorEastAsia"/>
          <w:szCs w:val="24"/>
          <w:lang w:val="en-US"/>
        </w:rPr>
        <w:t>provide the following proposals:</w:t>
      </w:r>
    </w:p>
    <w:p w:rsidR="00A6323D" w:rsidRDefault="00A6323D">
      <w:pPr>
        <w:adjustRightInd w:val="0"/>
        <w:spacing w:after="0" w:afterAutospacing="0"/>
        <w:rPr>
          <w:rFonts w:eastAsiaTheme="minorEastAsia"/>
          <w:szCs w:val="24"/>
          <w:highlight w:val="yellow"/>
        </w:rPr>
      </w:pPr>
    </w:p>
    <w:p w:rsidR="004D43EC" w:rsidRDefault="004D43EC" w:rsidP="004D43EC">
      <w:pPr>
        <w:adjustRightInd w:val="0"/>
        <w:spacing w:after="0" w:afterAutospacing="0"/>
        <w:rPr>
          <w:rFonts w:eastAsiaTheme="minorEastAsia"/>
          <w:b/>
          <w:szCs w:val="24"/>
        </w:rPr>
      </w:pPr>
      <w:r>
        <w:rPr>
          <w:rFonts w:eastAsiaTheme="minorEastAsia" w:hint="eastAsia"/>
          <w:b/>
          <w:szCs w:val="24"/>
        </w:rPr>
        <w:t>Pro</w:t>
      </w:r>
      <w:r>
        <w:rPr>
          <w:rFonts w:eastAsiaTheme="minorEastAsia"/>
          <w:b/>
          <w:szCs w:val="24"/>
        </w:rPr>
        <w:t xml:space="preserve">posal 1: </w:t>
      </w:r>
      <w:r>
        <w:rPr>
          <w:rFonts w:eastAsiaTheme="minorEastAsia"/>
          <w:szCs w:val="24"/>
        </w:rPr>
        <w:t xml:space="preserve">Support 480 kHz and/or 960 kHz at least for </w:t>
      </w:r>
      <w:r>
        <w:rPr>
          <w:rFonts w:eastAsiaTheme="minorEastAsia" w:hint="eastAsia"/>
          <w:szCs w:val="24"/>
        </w:rPr>
        <w:t>SSB of non-initi</w:t>
      </w:r>
      <w:r>
        <w:rPr>
          <w:rFonts w:eastAsiaTheme="minorEastAsia"/>
          <w:szCs w:val="24"/>
        </w:rPr>
        <w:t>al access case.</w:t>
      </w:r>
    </w:p>
    <w:p w:rsidR="004D43EC" w:rsidRDefault="004D43EC">
      <w:pPr>
        <w:adjustRightInd w:val="0"/>
        <w:spacing w:after="0" w:afterAutospacing="0"/>
        <w:rPr>
          <w:rFonts w:eastAsiaTheme="minorEastAsia"/>
          <w:szCs w:val="24"/>
          <w:highlight w:val="yellow"/>
        </w:rPr>
      </w:pPr>
    </w:p>
    <w:p w:rsidR="004D43EC" w:rsidRDefault="004D43EC" w:rsidP="004D43EC">
      <w:pPr>
        <w:adjustRightInd w:val="0"/>
        <w:spacing w:after="0" w:afterAutospacing="0"/>
        <w:rPr>
          <w:rFonts w:eastAsiaTheme="minorEastAsia"/>
          <w:szCs w:val="24"/>
        </w:rPr>
      </w:pPr>
      <w:r>
        <w:rPr>
          <w:rFonts w:eastAsiaTheme="minorEastAsia"/>
          <w:b/>
          <w:szCs w:val="24"/>
        </w:rPr>
        <w:t>Proposal 2:</w:t>
      </w:r>
      <w:r>
        <w:rPr>
          <w:rFonts w:eastAsiaTheme="minorEastAsia"/>
          <w:szCs w:val="24"/>
        </w:rPr>
        <w:t xml:space="preserve"> Support 480 kHz and/or 960 kHz SCS for </w:t>
      </w:r>
      <w:r>
        <w:rPr>
          <w:rFonts w:eastAsiaTheme="minorEastAsia" w:hint="eastAsia"/>
          <w:szCs w:val="24"/>
        </w:rPr>
        <w:t>PRACH</w:t>
      </w:r>
      <w:r>
        <w:rPr>
          <w:rFonts w:eastAsiaTheme="minorEastAsia"/>
          <w:szCs w:val="24"/>
        </w:rPr>
        <w:t>.</w:t>
      </w:r>
    </w:p>
    <w:p w:rsidR="004D43EC" w:rsidRDefault="004D43EC">
      <w:pPr>
        <w:adjustRightInd w:val="0"/>
        <w:spacing w:after="0" w:afterAutospacing="0"/>
        <w:rPr>
          <w:rFonts w:eastAsiaTheme="minorEastAsia"/>
          <w:szCs w:val="24"/>
          <w:highlight w:val="yellow"/>
        </w:rPr>
      </w:pPr>
    </w:p>
    <w:p w:rsidR="004D43EC" w:rsidRDefault="004D43EC" w:rsidP="004D43EC">
      <w:pPr>
        <w:adjustRightInd w:val="0"/>
        <w:spacing w:after="0" w:afterAutospacing="0"/>
        <w:rPr>
          <w:rFonts w:eastAsiaTheme="minorEastAsia"/>
          <w:szCs w:val="24"/>
        </w:rPr>
      </w:pPr>
      <w:r>
        <w:rPr>
          <w:rFonts w:eastAsiaTheme="minorEastAsia"/>
          <w:b/>
          <w:szCs w:val="24"/>
        </w:rPr>
        <w:t>Proposal 3</w:t>
      </w:r>
      <w:r>
        <w:rPr>
          <w:rFonts w:eastAsiaTheme="minorEastAsia"/>
          <w:szCs w:val="24"/>
        </w:rPr>
        <w:t>: For 480kHz and/or 960 kHz PRACH SCS if supported, it is not needed to introduce preamble sequence lengths of 571 and 1151.</w:t>
      </w:r>
    </w:p>
    <w:p w:rsidR="004D43EC" w:rsidRDefault="004D43EC">
      <w:pPr>
        <w:adjustRightInd w:val="0"/>
        <w:spacing w:after="0" w:afterAutospacing="0"/>
        <w:rPr>
          <w:rFonts w:eastAsiaTheme="minorEastAsia"/>
          <w:szCs w:val="24"/>
          <w:highlight w:val="yellow"/>
        </w:rPr>
      </w:pPr>
    </w:p>
    <w:p w:rsidR="004D43EC" w:rsidRDefault="004D43EC" w:rsidP="004D43EC">
      <w:pPr>
        <w:adjustRightInd w:val="0"/>
        <w:spacing w:after="0" w:afterAutospacing="0"/>
        <w:rPr>
          <w:rFonts w:eastAsiaTheme="minorEastAsia"/>
          <w:szCs w:val="24"/>
        </w:rPr>
      </w:pPr>
      <w:r>
        <w:rPr>
          <w:rFonts w:eastAsiaTheme="minorEastAsia"/>
          <w:b/>
          <w:szCs w:val="24"/>
        </w:rPr>
        <w:t>Proposal 4</w:t>
      </w:r>
      <w:r>
        <w:rPr>
          <w:rFonts w:eastAsiaTheme="minorEastAsia"/>
          <w:szCs w:val="24"/>
        </w:rPr>
        <w:t>: Modify the calculation of RA-RNTI to accommodate 480kHz and/or 960kHz PRACH SCS if supported.</w:t>
      </w:r>
    </w:p>
    <w:p w:rsidR="004D43EC" w:rsidRDefault="004D43EC" w:rsidP="004D43EC">
      <w:pPr>
        <w:adjustRightInd w:val="0"/>
        <w:spacing w:after="0" w:afterAutospacing="0"/>
        <w:rPr>
          <w:rFonts w:eastAsiaTheme="minorEastAsia"/>
          <w:szCs w:val="24"/>
        </w:rPr>
      </w:pPr>
    </w:p>
    <w:p w:rsidR="00A37D6C" w:rsidRDefault="00A37D6C" w:rsidP="00A37D6C">
      <w:pPr>
        <w:adjustRightInd w:val="0"/>
        <w:spacing w:after="0" w:afterAutospacing="0"/>
        <w:rPr>
          <w:rFonts w:eastAsiaTheme="minorEastAsia"/>
          <w:szCs w:val="24"/>
        </w:rPr>
      </w:pPr>
      <w:r>
        <w:rPr>
          <w:rFonts w:eastAsiaTheme="minorEastAsia"/>
          <w:b/>
          <w:szCs w:val="24"/>
        </w:rPr>
        <w:t>Proposal 5</w:t>
      </w:r>
      <w:r>
        <w:rPr>
          <w:rFonts w:eastAsiaTheme="minorEastAsia"/>
          <w:szCs w:val="24"/>
        </w:rPr>
        <w:t>: At least the following alternatives on calculation of RA-RNTI to accommodate 480kHz and/or 960kHz PRACH SCS can be discussed</w:t>
      </w:r>
      <w:r>
        <w:rPr>
          <w:rFonts w:eastAsiaTheme="minorEastAsia" w:hint="eastAsia"/>
          <w:szCs w:val="24"/>
        </w:rPr>
        <w:t>:</w:t>
      </w:r>
    </w:p>
    <w:p w:rsidR="00A37D6C" w:rsidRDefault="00A37D6C" w:rsidP="00A37D6C">
      <w:pPr>
        <w:pStyle w:val="1b"/>
        <w:numPr>
          <w:ilvl w:val="0"/>
          <w:numId w:val="18"/>
        </w:numPr>
        <w:adjustRightInd w:val="0"/>
        <w:spacing w:after="0" w:afterAutospacing="0"/>
        <w:ind w:firstLineChars="0"/>
        <w:rPr>
          <w:rFonts w:eastAsiaTheme="minorEastAsia"/>
          <w:szCs w:val="24"/>
        </w:rPr>
      </w:pPr>
      <w:r>
        <w:rPr>
          <w:rFonts w:eastAsiaTheme="minorEastAsia" w:hint="eastAsia"/>
          <w:szCs w:val="24"/>
        </w:rPr>
        <w:t>Alt 1</w:t>
      </w:r>
      <w:r>
        <w:rPr>
          <w:rFonts w:eastAsiaTheme="minorEastAsia"/>
          <w:szCs w:val="24"/>
        </w:rPr>
        <w:t>: Modify the equation considering new maximum PRACH SCS and available RNTI value range.</w:t>
      </w:r>
      <w:r>
        <w:rPr>
          <w:rFonts w:eastAsiaTheme="minorEastAsia" w:hint="eastAsia"/>
          <w:szCs w:val="24"/>
        </w:rPr>
        <w:t xml:space="preserve"> </w:t>
      </w:r>
    </w:p>
    <w:p w:rsidR="00A37D6C" w:rsidRDefault="00A37D6C" w:rsidP="00A37D6C">
      <w:pPr>
        <w:pStyle w:val="1b"/>
        <w:numPr>
          <w:ilvl w:val="0"/>
          <w:numId w:val="18"/>
        </w:numPr>
        <w:adjustRightInd w:val="0"/>
        <w:spacing w:after="0" w:afterAutospacing="0"/>
        <w:ind w:firstLineChars="0"/>
        <w:rPr>
          <w:rFonts w:eastAsiaTheme="minorEastAsia"/>
          <w:szCs w:val="24"/>
        </w:rPr>
      </w:pPr>
      <w:r>
        <w:rPr>
          <w:rFonts w:eastAsiaTheme="minorEastAsia"/>
          <w:szCs w:val="24"/>
        </w:rPr>
        <w:t>Alt 2: Reuse the Rel-16 equation and the additional information is indicated by DCI bits.</w:t>
      </w:r>
    </w:p>
    <w:p w:rsidR="00A37D6C" w:rsidRDefault="00A37D6C" w:rsidP="00A37D6C">
      <w:pPr>
        <w:pStyle w:val="1b"/>
        <w:numPr>
          <w:ilvl w:val="0"/>
          <w:numId w:val="18"/>
        </w:numPr>
        <w:adjustRightInd w:val="0"/>
        <w:spacing w:after="0" w:afterAutospacing="0"/>
        <w:ind w:firstLineChars="0"/>
        <w:rPr>
          <w:rFonts w:eastAsiaTheme="minorEastAsia"/>
          <w:szCs w:val="24"/>
        </w:rPr>
      </w:pPr>
      <w:r>
        <w:rPr>
          <w:rFonts w:eastAsiaTheme="minorEastAsia"/>
          <w:szCs w:val="24"/>
        </w:rPr>
        <w:t>Alt 3: Exploit sparse nature of PRACH occasion allocations in time domain.</w:t>
      </w:r>
    </w:p>
    <w:p w:rsidR="00A37D6C" w:rsidRDefault="00A37D6C" w:rsidP="00A37D6C">
      <w:pPr>
        <w:pStyle w:val="1b"/>
        <w:numPr>
          <w:ilvl w:val="0"/>
          <w:numId w:val="18"/>
        </w:numPr>
        <w:adjustRightInd w:val="0"/>
        <w:spacing w:after="0" w:afterAutospacing="0"/>
        <w:ind w:firstLineChars="0"/>
        <w:rPr>
          <w:rFonts w:eastAsiaTheme="minorEastAsia"/>
          <w:szCs w:val="24"/>
        </w:rPr>
      </w:pPr>
      <w:r>
        <w:rPr>
          <w:rFonts w:eastAsiaTheme="minorEastAsia"/>
          <w:szCs w:val="24"/>
        </w:rPr>
        <w:t>Alt 4: Constraint RO allocation period/positions.</w:t>
      </w:r>
    </w:p>
    <w:p w:rsidR="004D43EC" w:rsidRDefault="004D43EC">
      <w:pPr>
        <w:adjustRightInd w:val="0"/>
        <w:spacing w:after="0" w:afterAutospacing="0"/>
        <w:rPr>
          <w:rFonts w:eastAsiaTheme="minorEastAsia"/>
          <w:szCs w:val="24"/>
          <w:highlight w:val="yellow"/>
        </w:rPr>
      </w:pPr>
    </w:p>
    <w:p w:rsidR="007F2BE7" w:rsidRPr="00A37D6C" w:rsidRDefault="007F2BE7">
      <w:pPr>
        <w:adjustRightInd w:val="0"/>
        <w:spacing w:after="0" w:afterAutospacing="0"/>
        <w:rPr>
          <w:rFonts w:eastAsiaTheme="minorEastAsia"/>
          <w:szCs w:val="24"/>
          <w:highlight w:val="yellow"/>
        </w:rPr>
      </w:pPr>
    </w:p>
    <w:p w:rsidR="00A6323D" w:rsidRDefault="00DF0C7C">
      <w:pPr>
        <w:pStyle w:val="10"/>
        <w:numPr>
          <w:ilvl w:val="0"/>
          <w:numId w:val="13"/>
        </w:numPr>
        <w:spacing w:before="0" w:after="180"/>
        <w:rPr>
          <w:rFonts w:ascii="Times New Roman" w:hAnsi="Times New Roman"/>
        </w:rPr>
      </w:pPr>
      <w:r>
        <w:rPr>
          <w:rFonts w:ascii="Times New Roman" w:hAnsi="Times New Roman"/>
        </w:rPr>
        <w:t>References</w:t>
      </w:r>
    </w:p>
    <w:p w:rsidR="00A6323D" w:rsidRPr="00E9055D" w:rsidRDefault="00DF0C7C" w:rsidP="00E123E1">
      <w:pPr>
        <w:pStyle w:val="textintend2"/>
        <w:numPr>
          <w:ilvl w:val="1"/>
          <w:numId w:val="19"/>
        </w:numPr>
        <w:spacing w:after="0"/>
        <w:rPr>
          <w:szCs w:val="24"/>
        </w:rPr>
      </w:pPr>
      <w:r w:rsidRPr="00E9055D">
        <w:rPr>
          <w:szCs w:val="24"/>
        </w:rPr>
        <w:t>3GPP WID, “</w:t>
      </w:r>
      <w:r w:rsidR="00E123E1" w:rsidRPr="00E9055D">
        <w:rPr>
          <w:szCs w:val="24"/>
        </w:rPr>
        <w:t>Extending current NR operation to 71GHz</w:t>
      </w:r>
      <w:r w:rsidRPr="00E9055D">
        <w:rPr>
          <w:szCs w:val="24"/>
        </w:rPr>
        <w:t xml:space="preserve">”, </w:t>
      </w:r>
      <w:r w:rsidR="00E123E1" w:rsidRPr="00E9055D">
        <w:rPr>
          <w:szCs w:val="24"/>
        </w:rPr>
        <w:t>RP-210862</w:t>
      </w:r>
    </w:p>
    <w:p w:rsidR="00A6323D" w:rsidRPr="00E9055D" w:rsidRDefault="0001021E">
      <w:pPr>
        <w:pStyle w:val="textintend2"/>
        <w:numPr>
          <w:ilvl w:val="1"/>
          <w:numId w:val="19"/>
        </w:numPr>
        <w:spacing w:after="0"/>
        <w:rPr>
          <w:szCs w:val="24"/>
        </w:rPr>
      </w:pPr>
      <w:r w:rsidRPr="00E9055D">
        <w:rPr>
          <w:szCs w:val="24"/>
        </w:rPr>
        <w:t>3GPP RAN1#104</w:t>
      </w:r>
      <w:r w:rsidR="00E9055D" w:rsidRPr="00E9055D">
        <w:rPr>
          <w:szCs w:val="24"/>
        </w:rPr>
        <w:t>-e Chairman’s note, February 2021</w:t>
      </w:r>
    </w:p>
    <w:p w:rsidR="00A6323D" w:rsidRPr="00E9055D" w:rsidRDefault="00A6323D">
      <w:pPr>
        <w:pStyle w:val="textintend2"/>
        <w:numPr>
          <w:ilvl w:val="0"/>
          <w:numId w:val="0"/>
        </w:numPr>
        <w:spacing w:after="0"/>
        <w:rPr>
          <w:szCs w:val="24"/>
          <w:lang w:eastAsia="ja-JP"/>
        </w:rPr>
      </w:pPr>
    </w:p>
    <w:p w:rsidR="00B64A65" w:rsidRDefault="00B64A65">
      <w:pPr>
        <w:snapToGrid/>
        <w:spacing w:after="0" w:afterAutospacing="0"/>
        <w:jc w:val="left"/>
        <w:rPr>
          <w:rFonts w:eastAsia="ＭＳ 明朝"/>
          <w:szCs w:val="24"/>
          <w:lang w:val="en-US"/>
        </w:rPr>
      </w:pPr>
      <w:r>
        <w:rPr>
          <w:szCs w:val="24"/>
        </w:rPr>
        <w:br w:type="page"/>
      </w:r>
    </w:p>
    <w:p w:rsidR="00A6323D" w:rsidRDefault="00DF0C7C">
      <w:pPr>
        <w:pStyle w:val="10"/>
        <w:spacing w:before="0" w:after="180"/>
        <w:rPr>
          <w:rFonts w:ascii="Times New Roman" w:hAnsi="Times New Roman"/>
        </w:rPr>
      </w:pPr>
      <w:r>
        <w:rPr>
          <w:rFonts w:ascii="Times New Roman" w:hAnsi="Times New Roman"/>
        </w:rPr>
        <w:lastRenderedPageBreak/>
        <w:t>Appendix: related agreements</w:t>
      </w: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snapToGrid/>
        <w:spacing w:after="0" w:afterAutospacing="0"/>
        <w:jc w:val="left"/>
        <w:rPr>
          <w:rFonts w:eastAsia="Batang"/>
          <w:sz w:val="20"/>
          <w:szCs w:val="24"/>
          <w:lang w:eastAsia="zh-CN"/>
        </w:rPr>
      </w:pPr>
      <w:r>
        <w:rPr>
          <w:rFonts w:eastAsia="Batang"/>
          <w:sz w:val="20"/>
          <w:szCs w:val="24"/>
          <w:lang w:eastAsia="zh-CN"/>
        </w:rPr>
        <w:t>Send an LS to RAN4 to get input on gap required for gNBs and UEs for beam switching and for UL/DL and DL/UL switching.</w:t>
      </w:r>
    </w:p>
    <w:p w:rsidR="00A6323D" w:rsidRDefault="00A6323D">
      <w:pPr>
        <w:snapToGrid/>
        <w:spacing w:after="0" w:afterAutospacing="0"/>
        <w:jc w:val="left"/>
        <w:rPr>
          <w:rFonts w:eastAsia="Batang"/>
          <w:sz w:val="20"/>
          <w:szCs w:val="24"/>
          <w:lang w:eastAsia="zh-CN"/>
        </w:rPr>
      </w:pP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snapToGrid/>
        <w:spacing w:after="0" w:afterAutospacing="0"/>
        <w:jc w:val="left"/>
        <w:rPr>
          <w:rFonts w:eastAsia="Batang"/>
          <w:sz w:val="20"/>
          <w:lang w:eastAsia="zh-CN"/>
        </w:rPr>
      </w:pPr>
      <w:r>
        <w:rPr>
          <w:rFonts w:eastAsia="Batang"/>
          <w:sz w:val="20"/>
          <w:lang w:eastAsia="zh-CN"/>
        </w:rPr>
        <w:t>Whether or not to support 240 kHz, 480kHz and 960kHz SCS for SSB and the conditions under which SSB for 240 kHz, 480 kHz and 960 kHz may be supported will be decided no later than RAN1#104bis-e.</w:t>
      </w:r>
    </w:p>
    <w:p w:rsidR="00A6323D" w:rsidRDefault="00A6323D">
      <w:pPr>
        <w:snapToGrid/>
        <w:spacing w:after="0" w:afterAutospacing="0"/>
        <w:jc w:val="left"/>
        <w:rPr>
          <w:rFonts w:eastAsia="Batang"/>
          <w:sz w:val="20"/>
          <w:szCs w:val="24"/>
          <w:lang w:eastAsia="zh-CN"/>
        </w:rPr>
      </w:pP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tabs>
          <w:tab w:val="left" w:pos="720"/>
        </w:tabs>
        <w:snapToGrid/>
        <w:spacing w:after="0" w:afterAutospacing="0"/>
        <w:jc w:val="left"/>
        <w:textAlignment w:val="center"/>
        <w:rPr>
          <w:rFonts w:eastAsia="Times New Roman"/>
          <w:sz w:val="20"/>
          <w:lang w:eastAsia="en-US"/>
        </w:rPr>
      </w:pPr>
      <w:r>
        <w:rPr>
          <w:rFonts w:eastAsia="Times New Roman"/>
          <w:sz w:val="20"/>
          <w:lang w:eastAsia="en-US"/>
        </w:rPr>
        <w:t>For an unlicensed band that requires LBT, further study whether/how to support discovery burst (DB) and discovery burst transmission window (DBTW) at least for 120 kHz SSB SCS</w:t>
      </w:r>
    </w:p>
    <w:p w:rsidR="00A6323D" w:rsidRDefault="00DF0C7C">
      <w:pPr>
        <w:numPr>
          <w:ilvl w:val="0"/>
          <w:numId w:val="20"/>
        </w:numPr>
        <w:tabs>
          <w:tab w:val="left" w:pos="720"/>
        </w:tabs>
        <w:snapToGrid/>
        <w:spacing w:after="0" w:afterAutospacing="0"/>
        <w:jc w:val="left"/>
        <w:textAlignment w:val="center"/>
        <w:rPr>
          <w:rFonts w:eastAsia="Times New Roman"/>
          <w:sz w:val="20"/>
          <w:lang w:eastAsia="en-US"/>
        </w:rPr>
      </w:pPr>
      <w:r>
        <w:rPr>
          <w:rFonts w:eastAsia="Times New Roman"/>
          <w:sz w:val="20"/>
          <w:lang w:eastAsia="en-US"/>
        </w:rPr>
        <w:t xml:space="preserve">If DB supported </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FFS: What signals/channels are included in DB other than SS/PBCH block</w:t>
      </w:r>
    </w:p>
    <w:p w:rsidR="00A6323D" w:rsidRDefault="00DF0C7C">
      <w:pPr>
        <w:numPr>
          <w:ilvl w:val="0"/>
          <w:numId w:val="20"/>
        </w:numPr>
        <w:tabs>
          <w:tab w:val="left" w:pos="720"/>
        </w:tabs>
        <w:snapToGrid/>
        <w:spacing w:after="0" w:afterAutospacing="0"/>
        <w:jc w:val="left"/>
        <w:textAlignment w:val="center"/>
        <w:rPr>
          <w:rFonts w:eastAsia="Times New Roman"/>
          <w:sz w:val="20"/>
          <w:lang w:eastAsia="en-US"/>
        </w:rPr>
      </w:pPr>
      <w:r>
        <w:rPr>
          <w:rFonts w:eastAsia="Times New Roman"/>
          <w:sz w:val="20"/>
          <w:lang w:eastAsia="en-US"/>
        </w:rPr>
        <w:t>If DBTW is supported</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Support mechanism to indicate or inform that DBTW is enabled/disabled for both IDLE and CONNECTED mode UEs</w:t>
      </w:r>
    </w:p>
    <w:p w:rsidR="00A6323D" w:rsidRDefault="00DF0C7C">
      <w:pPr>
        <w:numPr>
          <w:ilvl w:val="2"/>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FFS: how to support UEs performing initial access that do not have any prior information on DBTW.</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PBCH payload size is no greater than that for FR2</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Duration of DBTW is no greater than 5 ms</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Number of PBCH DMRS sequences is the same as for FR2</w:t>
      </w:r>
    </w:p>
    <w:p w:rsidR="00A6323D" w:rsidRDefault="00DF0C7C">
      <w:pPr>
        <w:numPr>
          <w:ilvl w:val="0"/>
          <w:numId w:val="20"/>
        </w:numPr>
        <w:tabs>
          <w:tab w:val="left" w:pos="720"/>
        </w:tabs>
        <w:snapToGrid/>
        <w:spacing w:after="0" w:afterAutospacing="0"/>
        <w:jc w:val="left"/>
        <w:textAlignment w:val="center"/>
        <w:rPr>
          <w:rFonts w:eastAsia="Times New Roman"/>
          <w:sz w:val="20"/>
          <w:lang w:eastAsia="en-US"/>
        </w:rPr>
      </w:pPr>
      <w:r>
        <w:rPr>
          <w:rFonts w:eastAsia="Times New Roman"/>
          <w:sz w:val="20"/>
          <w:lang w:eastAsia="en-US"/>
        </w:rPr>
        <w:t>The following points are additionally FFS:</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How to indicate candidate SSB indices and QCL relation without exceeding limit on PBCH payload size</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Details of the mechanism for enabling/disabling DBTW considering LBT exempt operation and overlapping licensed/unlicensed bands</w:t>
      </w:r>
    </w:p>
    <w:p w:rsidR="00A6323D" w:rsidRDefault="00DF0C7C">
      <w:pPr>
        <w:numPr>
          <w:ilvl w:val="1"/>
          <w:numId w:val="20"/>
        </w:numPr>
        <w:tabs>
          <w:tab w:val="left" w:pos="720"/>
          <w:tab w:val="left" w:pos="1440"/>
        </w:tabs>
        <w:snapToGrid/>
        <w:spacing w:after="0" w:afterAutospacing="0"/>
        <w:jc w:val="left"/>
        <w:textAlignment w:val="center"/>
        <w:rPr>
          <w:rFonts w:eastAsia="Times New Roman"/>
          <w:sz w:val="20"/>
          <w:lang w:eastAsia="en-US"/>
        </w:rPr>
      </w:pPr>
      <w:r>
        <w:rPr>
          <w:rFonts w:eastAsia="Times New Roman"/>
          <w:sz w:val="20"/>
          <w:lang w:eastAsia="en-US"/>
        </w:rPr>
        <w:t>Whether or not to support DBTW for SSB SCS(s) other than 120 kHz if other SSB SCS(s) are supported</w:t>
      </w:r>
    </w:p>
    <w:p w:rsidR="00A6323D" w:rsidRDefault="00A6323D">
      <w:pPr>
        <w:snapToGrid/>
        <w:spacing w:after="0" w:afterAutospacing="0"/>
        <w:jc w:val="left"/>
        <w:rPr>
          <w:rFonts w:eastAsia="Batang"/>
          <w:sz w:val="20"/>
          <w:szCs w:val="24"/>
          <w:lang w:eastAsia="zh-CN"/>
        </w:rPr>
      </w:pP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snapToGrid/>
        <w:spacing w:after="0" w:afterAutospacing="0" w:line="259" w:lineRule="auto"/>
        <w:rPr>
          <w:rFonts w:eastAsia="Batang"/>
          <w:sz w:val="20"/>
          <w:lang w:eastAsia="zh-CN"/>
        </w:rPr>
      </w:pPr>
      <w:r>
        <w:rPr>
          <w:rFonts w:eastAsia="Batang"/>
          <w:sz w:val="20"/>
          <w:lang w:eastAsia="zh-CN"/>
        </w:rPr>
        <w:t>For CORESET#0 and Type0-PDCCH search space configured in MIB:</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 xml:space="preserve">Support {SS/PBCH Block, CORESET#0 for Type0-PDCCH} SCS </w:t>
      </w:r>
      <w:r>
        <w:rPr>
          <w:rFonts w:eastAsia="Batang"/>
          <w:sz w:val="20"/>
          <w:u w:val="single"/>
          <w:lang w:eastAsia="zh-CN"/>
        </w:rPr>
        <w:t>equal to</w:t>
      </w:r>
      <w:r>
        <w:rPr>
          <w:rFonts w:eastAsia="Batang"/>
          <w:sz w:val="20"/>
          <w:lang w:eastAsia="zh-CN"/>
        </w:rPr>
        <w:t xml:space="preserve"> {120, 120} kHz</w:t>
      </w:r>
    </w:p>
    <w:p w:rsidR="00A6323D" w:rsidRDefault="00DF0C7C">
      <w:pPr>
        <w:numPr>
          <w:ilvl w:val="1"/>
          <w:numId w:val="17"/>
        </w:numPr>
        <w:snapToGrid/>
        <w:spacing w:after="120" w:afterAutospacing="0" w:line="259" w:lineRule="auto"/>
        <w:jc w:val="left"/>
        <w:rPr>
          <w:rFonts w:eastAsia="Batang"/>
          <w:sz w:val="20"/>
          <w:u w:val="single"/>
          <w:lang w:eastAsia="zh-CN"/>
        </w:rPr>
      </w:pPr>
      <w:r>
        <w:rPr>
          <w:rFonts w:eastAsia="Batang"/>
          <w:sz w:val="20"/>
          <w:u w:val="single"/>
          <w:lang w:eastAsia="zh-CN"/>
        </w:rPr>
        <w:t>Support at least SSB and CORESET#0 multiplexing patterns, number of RBs for CORESET</w:t>
      </w:r>
      <w:r>
        <w:rPr>
          <w:rFonts w:eastAsia="Batang"/>
          <w:sz w:val="20"/>
          <w:lang w:eastAsia="zh-CN"/>
        </w:rPr>
        <w:t>#</w:t>
      </w:r>
      <w:r>
        <w:rPr>
          <w:rFonts w:eastAsia="Batang"/>
          <w:sz w:val="20"/>
          <w:u w:val="single"/>
          <w:lang w:eastAsia="zh-CN"/>
        </w:rPr>
        <w:t>0, number of symbols (duration of CORESET</w:t>
      </w:r>
      <w:r>
        <w:rPr>
          <w:rFonts w:eastAsia="Batang"/>
          <w:sz w:val="20"/>
          <w:lang w:eastAsia="zh-CN"/>
        </w:rPr>
        <w:t>#0</w:t>
      </w:r>
      <w:r>
        <w:rPr>
          <w:rFonts w:eastAsia="Batang"/>
          <w:sz w:val="20"/>
          <w:u w:val="single"/>
          <w:lang w:eastAsia="zh-CN"/>
        </w:rPr>
        <w:t>) that are supported in Rel-15/16 for {SS/PBCH Block, CORESET#0 for Type0-PDCCH} SCS = {120, 120} kHz.</w:t>
      </w:r>
    </w:p>
    <w:p w:rsidR="00A6323D" w:rsidRDefault="00DF0C7C">
      <w:pPr>
        <w:numPr>
          <w:ilvl w:val="2"/>
          <w:numId w:val="17"/>
        </w:numPr>
        <w:snapToGrid/>
        <w:spacing w:after="120" w:afterAutospacing="0" w:line="259" w:lineRule="auto"/>
        <w:jc w:val="left"/>
        <w:rPr>
          <w:rFonts w:eastAsia="Batang"/>
          <w:sz w:val="20"/>
          <w:u w:val="single"/>
          <w:lang w:eastAsia="zh-CN"/>
        </w:rPr>
      </w:pPr>
      <w:r>
        <w:rPr>
          <w:rFonts w:eastAsia="Batang"/>
          <w:sz w:val="20"/>
          <w:u w:val="single"/>
          <w:lang w:eastAsia="zh-CN"/>
        </w:rPr>
        <w:t>FFS: Supporting additional values</w:t>
      </w:r>
    </w:p>
    <w:p w:rsidR="00A6323D" w:rsidRDefault="00DF0C7C">
      <w:pPr>
        <w:numPr>
          <w:ilvl w:val="1"/>
          <w:numId w:val="17"/>
        </w:numPr>
        <w:snapToGrid/>
        <w:spacing w:after="120" w:afterAutospacing="0" w:line="259" w:lineRule="auto"/>
        <w:jc w:val="left"/>
        <w:rPr>
          <w:rFonts w:eastAsia="Batang"/>
          <w:sz w:val="20"/>
          <w:u w:val="single"/>
          <w:lang w:eastAsia="zh-CN"/>
        </w:rPr>
      </w:pPr>
      <w:r>
        <w:rPr>
          <w:rFonts w:eastAsia="Batang"/>
          <w:sz w:val="20"/>
          <w:u w:val="single"/>
          <w:lang w:eastAsia="zh-CN"/>
        </w:rPr>
        <w:lastRenderedPageBreak/>
        <w:t>FFS: Supported values for SSB to CORESET</w:t>
      </w:r>
      <w:r>
        <w:rPr>
          <w:rFonts w:eastAsia="Batang"/>
          <w:sz w:val="20"/>
          <w:lang w:eastAsia="zh-CN"/>
        </w:rPr>
        <w:t>#</w:t>
      </w:r>
      <w:r>
        <w:rPr>
          <w:rFonts w:eastAsia="Batang"/>
          <w:sz w:val="20"/>
          <w:u w:val="single"/>
          <w:lang w:eastAsia="zh-CN"/>
        </w:rPr>
        <w:t>0 offset RBs</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If 480kHz SSB SCS that configures CORESET#0 and Type0-PDCCH CSS in MIB is agreed to be supported,</w:t>
      </w:r>
    </w:p>
    <w:p w:rsidR="00A6323D" w:rsidRDefault="00DF0C7C">
      <w:pPr>
        <w:numPr>
          <w:ilvl w:val="1"/>
          <w:numId w:val="17"/>
        </w:numPr>
        <w:snapToGrid/>
        <w:spacing w:after="0" w:afterAutospacing="0" w:line="259" w:lineRule="auto"/>
        <w:jc w:val="left"/>
        <w:rPr>
          <w:rFonts w:eastAsia="Batang"/>
          <w:sz w:val="20"/>
          <w:lang w:eastAsia="zh-CN"/>
        </w:rPr>
      </w:pPr>
      <w:r>
        <w:rPr>
          <w:rFonts w:eastAsia="Batang"/>
          <w:sz w:val="20"/>
          <w:lang w:eastAsia="zh-CN"/>
        </w:rPr>
        <w:t xml:space="preserve">Support {SS/PBCH Block, CORESET#0 for Type0-PDCCH} SCS </w:t>
      </w:r>
      <w:r>
        <w:rPr>
          <w:rFonts w:eastAsia="Batang"/>
          <w:sz w:val="20"/>
          <w:u w:val="single"/>
          <w:lang w:eastAsia="zh-CN"/>
        </w:rPr>
        <w:t>equal to</w:t>
      </w:r>
      <w:r>
        <w:rPr>
          <w:rFonts w:eastAsia="Batang"/>
          <w:sz w:val="20"/>
          <w:lang w:eastAsia="zh-CN"/>
        </w:rPr>
        <w:t xml:space="preserve"> {480, 480} kHz</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If 960 kHz SSB SCS that configures CORESET#0 and Type0-PDCCH CSS in MIB is agreed to be supported,</w:t>
      </w:r>
    </w:p>
    <w:p w:rsidR="00A6323D" w:rsidRDefault="00DF0C7C">
      <w:pPr>
        <w:numPr>
          <w:ilvl w:val="1"/>
          <w:numId w:val="17"/>
        </w:numPr>
        <w:snapToGrid/>
        <w:spacing w:after="0" w:afterAutospacing="0" w:line="259" w:lineRule="auto"/>
        <w:jc w:val="left"/>
        <w:rPr>
          <w:rFonts w:eastAsia="Batang"/>
          <w:sz w:val="20"/>
          <w:lang w:eastAsia="zh-CN"/>
        </w:rPr>
      </w:pPr>
      <w:r>
        <w:rPr>
          <w:rFonts w:eastAsia="Batang"/>
          <w:sz w:val="20"/>
          <w:lang w:eastAsia="zh-CN"/>
        </w:rPr>
        <w:t xml:space="preserve">Support {SS/PBCH Block, CORESET#0 for Type0-PDCCH} SCS </w:t>
      </w:r>
      <w:r>
        <w:rPr>
          <w:rFonts w:eastAsia="Batang"/>
          <w:sz w:val="20"/>
          <w:u w:val="single"/>
          <w:lang w:eastAsia="zh-CN"/>
        </w:rPr>
        <w:t>equal to</w:t>
      </w:r>
      <w:r>
        <w:rPr>
          <w:rFonts w:eastAsia="Batang"/>
          <w:sz w:val="20"/>
          <w:lang w:eastAsia="zh-CN"/>
        </w:rPr>
        <w:t xml:space="preserve"> {960, 960} kHz</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If 240 kHz SSB SCS is agreed to be supported,</w:t>
      </w:r>
    </w:p>
    <w:p w:rsidR="00A6323D" w:rsidRDefault="00DF0C7C">
      <w:pPr>
        <w:numPr>
          <w:ilvl w:val="1"/>
          <w:numId w:val="17"/>
        </w:numPr>
        <w:snapToGrid/>
        <w:spacing w:after="0" w:afterAutospacing="0" w:line="259" w:lineRule="auto"/>
        <w:jc w:val="left"/>
        <w:rPr>
          <w:rFonts w:eastAsia="Batang"/>
          <w:sz w:val="20"/>
          <w:lang w:eastAsia="zh-CN"/>
        </w:rPr>
      </w:pPr>
      <w:r>
        <w:rPr>
          <w:rFonts w:eastAsia="Batang"/>
          <w:sz w:val="20"/>
          <w:lang w:eastAsia="zh-CN"/>
        </w:rPr>
        <w:t xml:space="preserve">Support {SS/PBCH Block, CORESET#0 for Type0-PDCCH} SCS </w:t>
      </w:r>
      <w:r>
        <w:rPr>
          <w:rFonts w:eastAsia="Batang"/>
          <w:sz w:val="20"/>
          <w:u w:val="single"/>
          <w:lang w:eastAsia="zh-CN"/>
        </w:rPr>
        <w:t>equal to</w:t>
      </w:r>
      <w:r>
        <w:rPr>
          <w:rFonts w:eastAsia="Batang"/>
          <w:sz w:val="20"/>
          <w:lang w:eastAsia="zh-CN"/>
        </w:rPr>
        <w:t xml:space="preserve"> {240, 120} kHz</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FFS: any other combinations between one of SSB SCS (120, 240, 480, 960) and one of CORESET#0 SCS (120, 480, 960)</w:t>
      </w:r>
    </w:p>
    <w:p w:rsidR="00A6323D" w:rsidRDefault="00DF0C7C">
      <w:pPr>
        <w:numPr>
          <w:ilvl w:val="1"/>
          <w:numId w:val="17"/>
        </w:numPr>
        <w:snapToGrid/>
        <w:spacing w:after="0" w:afterAutospacing="0" w:line="259" w:lineRule="auto"/>
        <w:jc w:val="left"/>
        <w:rPr>
          <w:rFonts w:eastAsia="Batang"/>
          <w:sz w:val="20"/>
          <w:lang w:eastAsia="zh-CN"/>
        </w:rPr>
      </w:pPr>
      <w:r>
        <w:rPr>
          <w:rFonts w:eastAsia="Batang"/>
          <w:sz w:val="20"/>
          <w:lang w:eastAsia="zh-CN"/>
        </w:rPr>
        <w:t>FFS: initial timing resolution based on low SCS (120 kHz) and its impact on the performance of higher SCS (480/960 kHz)</w:t>
      </w:r>
    </w:p>
    <w:p w:rsidR="00A6323D" w:rsidRDefault="00A6323D">
      <w:pPr>
        <w:snapToGrid/>
        <w:spacing w:after="0" w:afterAutospacing="0"/>
        <w:jc w:val="left"/>
        <w:rPr>
          <w:rFonts w:eastAsia="Batang"/>
          <w:sz w:val="20"/>
          <w:szCs w:val="24"/>
          <w:lang w:eastAsia="zh-CN"/>
        </w:rPr>
      </w:pP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tabs>
          <w:tab w:val="left" w:pos="0"/>
        </w:tabs>
        <w:snapToGrid/>
        <w:spacing w:after="0" w:afterAutospacing="0" w:line="259" w:lineRule="auto"/>
        <w:rPr>
          <w:rFonts w:eastAsia="Batang"/>
          <w:sz w:val="20"/>
          <w:lang w:eastAsia="zh-CN"/>
        </w:rPr>
      </w:pPr>
      <w:r>
        <w:rPr>
          <w:rFonts w:eastAsia="Batang"/>
          <w:sz w:val="20"/>
          <w:lang w:eastAsia="zh-CN"/>
        </w:rPr>
        <w:t>For 480 kHz and 960 kHz SSB SCS (if agreed)</w:t>
      </w:r>
    </w:p>
    <w:p w:rsidR="00A6323D" w:rsidRDefault="00DF0C7C">
      <w:pPr>
        <w:numPr>
          <w:ilvl w:val="0"/>
          <w:numId w:val="17"/>
        </w:numPr>
        <w:tabs>
          <w:tab w:val="left" w:pos="0"/>
        </w:tabs>
        <w:snapToGrid/>
        <w:spacing w:after="0" w:afterAutospacing="0" w:line="259" w:lineRule="auto"/>
        <w:jc w:val="left"/>
        <w:rPr>
          <w:rFonts w:eastAsia="Batang"/>
          <w:sz w:val="20"/>
          <w:lang w:eastAsia="zh-CN"/>
        </w:rPr>
      </w:pPr>
      <w:r>
        <w:rPr>
          <w:rFonts w:eastAsia="Batang"/>
          <w:sz w:val="20"/>
          <w:lang w:eastAsia="zh-CN"/>
        </w:rPr>
        <w:t>Study further on reserving symbol gap between SSB positions with different SSB index (and possibly between SSB position and other signal/channels)</w:t>
      </w:r>
    </w:p>
    <w:p w:rsidR="00A6323D" w:rsidRDefault="00DF0C7C">
      <w:pPr>
        <w:numPr>
          <w:ilvl w:val="1"/>
          <w:numId w:val="17"/>
        </w:numPr>
        <w:tabs>
          <w:tab w:val="left" w:pos="0"/>
        </w:tabs>
        <w:snapToGrid/>
        <w:spacing w:after="0" w:afterAutospacing="0" w:line="259" w:lineRule="auto"/>
        <w:jc w:val="left"/>
        <w:rPr>
          <w:rFonts w:eastAsia="Batang"/>
          <w:sz w:val="20"/>
          <w:lang w:eastAsia="zh-CN"/>
        </w:rPr>
      </w:pPr>
      <w:r>
        <w:rPr>
          <w:rFonts w:eastAsia="Batang"/>
          <w:sz w:val="20"/>
          <w:lang w:eastAsia="zh-CN"/>
        </w:rPr>
        <w:t>FFS: whether symbol gap is needed for only 960 kHz or both 480 and 960 kHz.</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Study further on reserving gap for UL/DL switching within the pattern accounting possibility for reserving UL transmission occasions in the SSB pattern</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Study should account for inputs from RAN4</w:t>
      </w:r>
    </w:p>
    <w:p w:rsidR="00A6323D" w:rsidRDefault="00A6323D">
      <w:pPr>
        <w:snapToGrid/>
        <w:spacing w:after="0" w:afterAutospacing="0"/>
        <w:jc w:val="left"/>
        <w:rPr>
          <w:rFonts w:eastAsia="Batang"/>
          <w:sz w:val="20"/>
          <w:szCs w:val="24"/>
          <w:lang w:eastAsia="zh-CN"/>
        </w:rPr>
      </w:pP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For initial access and non-initial access use cases, support 120kHz PRACH SCS with sequence length L=571, 1151 (in addition to L=139) for PRACH Formats A1~A3, B1~B4, C0, and C2.</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For</w:t>
      </w:r>
      <w:r>
        <w:rPr>
          <w:rFonts w:eastAsia="Batang"/>
          <w:color w:val="C00000"/>
          <w:sz w:val="20"/>
          <w:lang w:eastAsia="zh-CN"/>
        </w:rPr>
        <w:t xml:space="preserve"> </w:t>
      </w:r>
      <w:r>
        <w:rPr>
          <w:rFonts w:eastAsia="Batang"/>
          <w:sz w:val="20"/>
          <w:lang w:eastAsia="zh-CN"/>
        </w:rPr>
        <w:t xml:space="preserve">non-initial access use cases, </w:t>
      </w:r>
    </w:p>
    <w:p w:rsidR="00A6323D" w:rsidRDefault="00DF0C7C">
      <w:pPr>
        <w:numPr>
          <w:ilvl w:val="1"/>
          <w:numId w:val="17"/>
        </w:numPr>
        <w:snapToGrid/>
        <w:spacing w:after="0" w:afterAutospacing="0" w:line="259" w:lineRule="auto"/>
        <w:jc w:val="left"/>
        <w:rPr>
          <w:rFonts w:eastAsia="Batang"/>
          <w:sz w:val="20"/>
          <w:lang w:eastAsia="zh-CN"/>
        </w:rPr>
      </w:pPr>
      <w:r>
        <w:rPr>
          <w:rFonts w:eastAsia="Batang"/>
          <w:sz w:val="20"/>
          <w:lang w:eastAsia="zh-CN"/>
        </w:rPr>
        <w:t>if 480kHz and/or 960 kHz SSB SCS is agreed to be supported, support 480 and/or 960 kHz PRACH SCS with sequence length L=139 for PRACH Formats A1~A3, B1~B4, C0, and C2, respectively.</w:t>
      </w:r>
    </w:p>
    <w:p w:rsidR="00A6323D" w:rsidRDefault="00DF0C7C">
      <w:pPr>
        <w:numPr>
          <w:ilvl w:val="2"/>
          <w:numId w:val="17"/>
        </w:numPr>
        <w:tabs>
          <w:tab w:val="left" w:pos="1080"/>
        </w:tabs>
        <w:snapToGrid/>
        <w:spacing w:after="0" w:afterAutospacing="0" w:line="259" w:lineRule="auto"/>
        <w:jc w:val="left"/>
        <w:rPr>
          <w:rFonts w:eastAsia="Batang"/>
          <w:sz w:val="20"/>
          <w:lang w:eastAsia="zh-CN"/>
        </w:rPr>
      </w:pPr>
      <w:r>
        <w:rPr>
          <w:rFonts w:eastAsia="Batang"/>
          <w:sz w:val="20"/>
          <w:lang w:eastAsia="zh-CN"/>
        </w:rPr>
        <w:t>FFS: support of sequence length L = 571, 1151</w:t>
      </w:r>
    </w:p>
    <w:p w:rsidR="00A6323D" w:rsidRDefault="00DF0C7C">
      <w:pPr>
        <w:numPr>
          <w:ilvl w:val="0"/>
          <w:numId w:val="17"/>
        </w:numPr>
        <w:snapToGrid/>
        <w:spacing w:after="0" w:afterAutospacing="0" w:line="259" w:lineRule="auto"/>
        <w:jc w:val="left"/>
        <w:rPr>
          <w:rFonts w:eastAsia="Batang"/>
          <w:sz w:val="20"/>
          <w:lang w:eastAsia="zh-CN"/>
        </w:rPr>
      </w:pPr>
      <w:r>
        <w:rPr>
          <w:rFonts w:eastAsia="Batang"/>
          <w:sz w:val="20"/>
          <w:lang w:eastAsia="zh-CN"/>
        </w:rPr>
        <w:t>FFS: Support of 480 and/or 960 kHz PRACH SCS for initial access use cases, if 480 and/or 960 kHz SSB SCS is agreed to be supported for initial access</w:t>
      </w:r>
    </w:p>
    <w:p w:rsidR="00A6323D" w:rsidRDefault="00A6323D">
      <w:pPr>
        <w:snapToGrid/>
        <w:spacing w:after="0" w:afterAutospacing="0"/>
        <w:jc w:val="left"/>
        <w:rPr>
          <w:rFonts w:eastAsia="Batang"/>
          <w:sz w:val="20"/>
          <w:szCs w:val="24"/>
          <w:lang w:eastAsia="zh-CN"/>
        </w:rPr>
      </w:pPr>
    </w:p>
    <w:p w:rsidR="00A6323D" w:rsidRDefault="00DF0C7C">
      <w:pPr>
        <w:snapToGrid/>
        <w:spacing w:after="0" w:afterAutospacing="0"/>
        <w:jc w:val="left"/>
        <w:rPr>
          <w:rFonts w:eastAsia="Batang"/>
          <w:sz w:val="20"/>
          <w:szCs w:val="24"/>
          <w:lang w:eastAsia="zh-CN"/>
        </w:rPr>
      </w:pPr>
      <w:r>
        <w:rPr>
          <w:rFonts w:eastAsia="Batang"/>
          <w:sz w:val="20"/>
          <w:szCs w:val="24"/>
          <w:highlight w:val="green"/>
          <w:lang w:eastAsia="zh-CN"/>
        </w:rPr>
        <w:t>Agreement:</w:t>
      </w:r>
    </w:p>
    <w:p w:rsidR="00A6323D" w:rsidRPr="007A20DB" w:rsidRDefault="00DF0C7C" w:rsidP="007A20DB">
      <w:pPr>
        <w:snapToGrid/>
        <w:spacing w:after="0" w:afterAutospacing="0"/>
        <w:jc w:val="left"/>
        <w:rPr>
          <w:rFonts w:eastAsia="Batang"/>
          <w:sz w:val="20"/>
          <w:szCs w:val="24"/>
          <w:lang w:eastAsia="zh-CN"/>
        </w:rPr>
      </w:pPr>
      <w:r>
        <w:rPr>
          <w:rFonts w:eastAsia="Batang"/>
          <w:sz w:val="20"/>
          <w:szCs w:val="24"/>
          <w:lang w:eastAsia="zh-CN"/>
        </w:rPr>
        <w:t xml:space="preserve">If 480 and/or 960 kHz PRACH SCS is supported, RAN1 should study </w:t>
      </w:r>
      <w:proofErr w:type="gramStart"/>
      <w:r>
        <w:rPr>
          <w:rFonts w:eastAsia="Batang"/>
          <w:sz w:val="20"/>
          <w:szCs w:val="24"/>
          <w:lang w:eastAsia="zh-CN"/>
        </w:rPr>
        <w:t>whether or not</w:t>
      </w:r>
      <w:proofErr w:type="gramEnd"/>
      <w:r>
        <w:rPr>
          <w:rFonts w:eastAsia="Batang"/>
          <w:sz w:val="20"/>
          <w:szCs w:val="24"/>
          <w:lang w:eastAsia="zh-CN"/>
        </w:rPr>
        <w:t xml:space="preserve"> the current RA-RNTI calculation and PRACH identification in RAR correctly provides unique identification of PRACH.</w:t>
      </w:r>
    </w:p>
    <w:sectPr w:rsidR="00A6323D" w:rsidRPr="007A20D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CB0" w:rsidRDefault="00DF1CB0">
      <w:pPr>
        <w:spacing w:after="0"/>
      </w:pPr>
      <w:r>
        <w:separator/>
      </w:r>
    </w:p>
  </w:endnote>
  <w:endnote w:type="continuationSeparator" w:id="0">
    <w:p w:rsidR="00DF1CB0" w:rsidRDefault="00DF1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汉仪旗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23D" w:rsidRDefault="00DF0C7C">
    <w:pPr>
      <w:pStyle w:val="af1"/>
      <w:jc w:val="center"/>
    </w:pPr>
    <w:r>
      <w:rPr>
        <w:b/>
      </w:rPr>
      <w:fldChar w:fldCharType="begin"/>
    </w:r>
    <w:r>
      <w:rPr>
        <w:b/>
      </w:rPr>
      <w:instrText>PAGE</w:instrText>
    </w:r>
    <w:r>
      <w:rPr>
        <w:b/>
      </w:rPr>
      <w:fldChar w:fldCharType="separate"/>
    </w:r>
    <w:r>
      <w:rPr>
        <w:b/>
      </w:rPr>
      <w:t>3</w:t>
    </w:r>
    <w:r>
      <w:rPr>
        <w:b/>
      </w:rPr>
      <w:fldChar w:fldCharType="end"/>
    </w:r>
  </w:p>
  <w:p w:rsidR="00A6323D" w:rsidRDefault="00A6323D">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CB0" w:rsidRDefault="00DF1CB0">
      <w:pPr>
        <w:spacing w:after="0"/>
      </w:pPr>
      <w:r>
        <w:separator/>
      </w:r>
    </w:p>
  </w:footnote>
  <w:footnote w:type="continuationSeparator" w:id="0">
    <w:p w:rsidR="00DF1CB0" w:rsidRDefault="00DF1C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22D"/>
    <w:multiLevelType w:val="multilevel"/>
    <w:tmpl w:val="008632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F35B7C"/>
    <w:multiLevelType w:val="multilevel"/>
    <w:tmpl w:val="1FF35B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8E6CA6"/>
    <w:multiLevelType w:val="multilevel"/>
    <w:tmpl w:val="3F8E6CA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2" w15:restartNumberingAfterBreak="0">
    <w:nsid w:val="56CC234C"/>
    <w:multiLevelType w:val="multilevel"/>
    <w:tmpl w:val="56CC234C"/>
    <w:lvl w:ilvl="0">
      <w:start w:val="1"/>
      <w:numFmt w:val="decimal"/>
      <w:pStyle w:val="textintend2"/>
      <w:lvlText w:val="[%1]"/>
      <w:lvlJc w:val="left"/>
      <w:pPr>
        <w:ind w:left="720" w:hanging="360"/>
      </w:pPr>
      <w:rPr>
        <w:rFont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DC1178"/>
    <w:multiLevelType w:val="multilevel"/>
    <w:tmpl w:val="6CDC11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5AD2FA1"/>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19" w15:restartNumberingAfterBreak="0">
    <w:nsid w:val="7941160D"/>
    <w:multiLevelType w:val="multilevel"/>
    <w:tmpl w:val="794116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6"/>
  </w:num>
  <w:num w:numId="4">
    <w:abstractNumId w:val="2"/>
  </w:num>
  <w:num w:numId="5">
    <w:abstractNumId w:val="9"/>
  </w:num>
  <w:num w:numId="6">
    <w:abstractNumId w:val="10"/>
  </w:num>
  <w:num w:numId="7">
    <w:abstractNumId w:val="11"/>
  </w:num>
  <w:num w:numId="8">
    <w:abstractNumId w:val="18"/>
  </w:num>
  <w:num w:numId="9">
    <w:abstractNumId w:val="12"/>
  </w:num>
  <w:num w:numId="10">
    <w:abstractNumId w:val="8"/>
  </w:num>
  <w:num w:numId="11">
    <w:abstractNumId w:val="14"/>
  </w:num>
  <w:num w:numId="12">
    <w:abstractNumId w:val="1"/>
  </w:num>
  <w:num w:numId="13">
    <w:abstractNumId w:val="17"/>
  </w:num>
  <w:num w:numId="14">
    <w:abstractNumId w:val="19"/>
  </w:num>
  <w:num w:numId="15">
    <w:abstractNumId w:val="0"/>
  </w:num>
  <w:num w:numId="16">
    <w:abstractNumId w:val="5"/>
  </w:num>
  <w:num w:numId="17">
    <w:abstractNumId w:val="4"/>
  </w:num>
  <w:num w:numId="18">
    <w:abstractNumId w:val="15"/>
  </w:num>
  <w:num w:numId="19">
    <w:abstractNumId w:val="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F4F92109"/>
    <w:rsid w:val="00000668"/>
    <w:rsid w:val="00000F06"/>
    <w:rsid w:val="00000F7F"/>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21E"/>
    <w:rsid w:val="000108F7"/>
    <w:rsid w:val="00010C7C"/>
    <w:rsid w:val="0001121B"/>
    <w:rsid w:val="00011DE2"/>
    <w:rsid w:val="00011EBD"/>
    <w:rsid w:val="00012C3E"/>
    <w:rsid w:val="00012DA0"/>
    <w:rsid w:val="00012F22"/>
    <w:rsid w:val="000130D9"/>
    <w:rsid w:val="00013B95"/>
    <w:rsid w:val="00014DB6"/>
    <w:rsid w:val="00015E57"/>
    <w:rsid w:val="0001791A"/>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68E5"/>
    <w:rsid w:val="00027329"/>
    <w:rsid w:val="00027921"/>
    <w:rsid w:val="000303EF"/>
    <w:rsid w:val="00030914"/>
    <w:rsid w:val="0003262F"/>
    <w:rsid w:val="00032BAA"/>
    <w:rsid w:val="000332DC"/>
    <w:rsid w:val="00033DF6"/>
    <w:rsid w:val="00033EC8"/>
    <w:rsid w:val="00034EAF"/>
    <w:rsid w:val="00034FEA"/>
    <w:rsid w:val="00035214"/>
    <w:rsid w:val="0003689E"/>
    <w:rsid w:val="000370D2"/>
    <w:rsid w:val="000374C2"/>
    <w:rsid w:val="00037ED1"/>
    <w:rsid w:val="0004116A"/>
    <w:rsid w:val="00041627"/>
    <w:rsid w:val="00041930"/>
    <w:rsid w:val="00041A96"/>
    <w:rsid w:val="0004241F"/>
    <w:rsid w:val="0004334E"/>
    <w:rsid w:val="00043740"/>
    <w:rsid w:val="0004405E"/>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5DC"/>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7E5"/>
    <w:rsid w:val="00070B2F"/>
    <w:rsid w:val="00073A97"/>
    <w:rsid w:val="00073EDB"/>
    <w:rsid w:val="00074BB6"/>
    <w:rsid w:val="00074D11"/>
    <w:rsid w:val="00075758"/>
    <w:rsid w:val="00075D62"/>
    <w:rsid w:val="00076DAC"/>
    <w:rsid w:val="00076DE4"/>
    <w:rsid w:val="0008008F"/>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761E"/>
    <w:rsid w:val="0008782B"/>
    <w:rsid w:val="00087ABA"/>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7932"/>
    <w:rsid w:val="00097ECA"/>
    <w:rsid w:val="000A028B"/>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5FAC"/>
    <w:rsid w:val="000B6AC9"/>
    <w:rsid w:val="000B76DA"/>
    <w:rsid w:val="000B76EE"/>
    <w:rsid w:val="000B78BB"/>
    <w:rsid w:val="000B7B57"/>
    <w:rsid w:val="000B7CFE"/>
    <w:rsid w:val="000C090F"/>
    <w:rsid w:val="000C0C8A"/>
    <w:rsid w:val="000C0E44"/>
    <w:rsid w:val="000C1343"/>
    <w:rsid w:val="000C3ED7"/>
    <w:rsid w:val="000C4C21"/>
    <w:rsid w:val="000C52F1"/>
    <w:rsid w:val="000C658C"/>
    <w:rsid w:val="000C6B1E"/>
    <w:rsid w:val="000D052D"/>
    <w:rsid w:val="000D0665"/>
    <w:rsid w:val="000D098D"/>
    <w:rsid w:val="000D3329"/>
    <w:rsid w:val="000D340E"/>
    <w:rsid w:val="000D3CE3"/>
    <w:rsid w:val="000D497F"/>
    <w:rsid w:val="000D4C20"/>
    <w:rsid w:val="000D4DD2"/>
    <w:rsid w:val="000D5EF0"/>
    <w:rsid w:val="000D6605"/>
    <w:rsid w:val="000D6B2D"/>
    <w:rsid w:val="000D6BA6"/>
    <w:rsid w:val="000E0B9B"/>
    <w:rsid w:val="000E0FC2"/>
    <w:rsid w:val="000E15E2"/>
    <w:rsid w:val="000E1699"/>
    <w:rsid w:val="000E19CC"/>
    <w:rsid w:val="000E2375"/>
    <w:rsid w:val="000E2560"/>
    <w:rsid w:val="000E4B4E"/>
    <w:rsid w:val="000E4BDC"/>
    <w:rsid w:val="000E4C49"/>
    <w:rsid w:val="000E5B28"/>
    <w:rsid w:val="000E5B99"/>
    <w:rsid w:val="000E6877"/>
    <w:rsid w:val="000E69A9"/>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5DC4"/>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69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659"/>
    <w:rsid w:val="00134D7B"/>
    <w:rsid w:val="00135E4C"/>
    <w:rsid w:val="00136458"/>
    <w:rsid w:val="00137204"/>
    <w:rsid w:val="0013796C"/>
    <w:rsid w:val="0014115C"/>
    <w:rsid w:val="00142647"/>
    <w:rsid w:val="001430CA"/>
    <w:rsid w:val="001433FF"/>
    <w:rsid w:val="00143639"/>
    <w:rsid w:val="00143C1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455B"/>
    <w:rsid w:val="00155A08"/>
    <w:rsid w:val="00155EAE"/>
    <w:rsid w:val="00156283"/>
    <w:rsid w:val="00156D5F"/>
    <w:rsid w:val="00157829"/>
    <w:rsid w:val="00157E20"/>
    <w:rsid w:val="00160BD7"/>
    <w:rsid w:val="00160E91"/>
    <w:rsid w:val="00161D03"/>
    <w:rsid w:val="001621E3"/>
    <w:rsid w:val="00162430"/>
    <w:rsid w:val="001625E3"/>
    <w:rsid w:val="001632D6"/>
    <w:rsid w:val="00163FD0"/>
    <w:rsid w:val="0016439A"/>
    <w:rsid w:val="00164A66"/>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4FD8"/>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4584"/>
    <w:rsid w:val="001C46BA"/>
    <w:rsid w:val="001C4AAD"/>
    <w:rsid w:val="001C5F7D"/>
    <w:rsid w:val="001C68D8"/>
    <w:rsid w:val="001C6B3A"/>
    <w:rsid w:val="001C7D9F"/>
    <w:rsid w:val="001D0E5F"/>
    <w:rsid w:val="001D25C7"/>
    <w:rsid w:val="001D3880"/>
    <w:rsid w:val="001D43C9"/>
    <w:rsid w:val="001D477F"/>
    <w:rsid w:val="001D4D44"/>
    <w:rsid w:val="001D6301"/>
    <w:rsid w:val="001E0100"/>
    <w:rsid w:val="001E1865"/>
    <w:rsid w:val="001E1BF9"/>
    <w:rsid w:val="001E1EDB"/>
    <w:rsid w:val="001E2784"/>
    <w:rsid w:val="001E3C73"/>
    <w:rsid w:val="001E544E"/>
    <w:rsid w:val="001E56B4"/>
    <w:rsid w:val="001E5821"/>
    <w:rsid w:val="001E5E53"/>
    <w:rsid w:val="001E667D"/>
    <w:rsid w:val="001E720B"/>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63E"/>
    <w:rsid w:val="00200D20"/>
    <w:rsid w:val="00201A69"/>
    <w:rsid w:val="00202FD6"/>
    <w:rsid w:val="00203197"/>
    <w:rsid w:val="00203CDF"/>
    <w:rsid w:val="002041F4"/>
    <w:rsid w:val="00205594"/>
    <w:rsid w:val="002057A9"/>
    <w:rsid w:val="00206423"/>
    <w:rsid w:val="00207BF8"/>
    <w:rsid w:val="00210560"/>
    <w:rsid w:val="002109CB"/>
    <w:rsid w:val="00210AB2"/>
    <w:rsid w:val="00211045"/>
    <w:rsid w:val="0021111F"/>
    <w:rsid w:val="00211B08"/>
    <w:rsid w:val="002126A5"/>
    <w:rsid w:val="00212FC4"/>
    <w:rsid w:val="00213098"/>
    <w:rsid w:val="00215066"/>
    <w:rsid w:val="002158B3"/>
    <w:rsid w:val="00215DA2"/>
    <w:rsid w:val="0021631C"/>
    <w:rsid w:val="00216E46"/>
    <w:rsid w:val="00217B1E"/>
    <w:rsid w:val="00217D48"/>
    <w:rsid w:val="00221947"/>
    <w:rsid w:val="00221B0A"/>
    <w:rsid w:val="00221C1B"/>
    <w:rsid w:val="00222DE7"/>
    <w:rsid w:val="0022331B"/>
    <w:rsid w:val="002244F4"/>
    <w:rsid w:val="00224F47"/>
    <w:rsid w:val="00224F54"/>
    <w:rsid w:val="00225BB0"/>
    <w:rsid w:val="00227027"/>
    <w:rsid w:val="0023077B"/>
    <w:rsid w:val="00230B60"/>
    <w:rsid w:val="002311AA"/>
    <w:rsid w:val="002317C8"/>
    <w:rsid w:val="0023187B"/>
    <w:rsid w:val="00232ADC"/>
    <w:rsid w:val="00233143"/>
    <w:rsid w:val="0023317B"/>
    <w:rsid w:val="00233382"/>
    <w:rsid w:val="00233AB2"/>
    <w:rsid w:val="00233F50"/>
    <w:rsid w:val="00234BE4"/>
    <w:rsid w:val="00235060"/>
    <w:rsid w:val="0023513D"/>
    <w:rsid w:val="00235340"/>
    <w:rsid w:val="0023564D"/>
    <w:rsid w:val="00235662"/>
    <w:rsid w:val="00235B09"/>
    <w:rsid w:val="002360C0"/>
    <w:rsid w:val="00237F9F"/>
    <w:rsid w:val="002403E9"/>
    <w:rsid w:val="00240656"/>
    <w:rsid w:val="002414B2"/>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D70"/>
    <w:rsid w:val="002608AC"/>
    <w:rsid w:val="00260AB5"/>
    <w:rsid w:val="0026123A"/>
    <w:rsid w:val="0026181A"/>
    <w:rsid w:val="00261FAC"/>
    <w:rsid w:val="00262CB7"/>
    <w:rsid w:val="00262F89"/>
    <w:rsid w:val="002631A9"/>
    <w:rsid w:val="00263E22"/>
    <w:rsid w:val="002643A3"/>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77C57"/>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3F8F"/>
    <w:rsid w:val="002941AD"/>
    <w:rsid w:val="00295C6E"/>
    <w:rsid w:val="00295DA0"/>
    <w:rsid w:val="00295EB0"/>
    <w:rsid w:val="00296399"/>
    <w:rsid w:val="002A217B"/>
    <w:rsid w:val="002A3D63"/>
    <w:rsid w:val="002A491A"/>
    <w:rsid w:val="002A5BF6"/>
    <w:rsid w:val="002A6996"/>
    <w:rsid w:val="002A6DFC"/>
    <w:rsid w:val="002A7A0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0AA5"/>
    <w:rsid w:val="002C1240"/>
    <w:rsid w:val="002C174C"/>
    <w:rsid w:val="002C17A9"/>
    <w:rsid w:val="002C17FF"/>
    <w:rsid w:val="002C1E25"/>
    <w:rsid w:val="002C2863"/>
    <w:rsid w:val="002C2DAE"/>
    <w:rsid w:val="002C3031"/>
    <w:rsid w:val="002C3DD2"/>
    <w:rsid w:val="002C4D8F"/>
    <w:rsid w:val="002C4E38"/>
    <w:rsid w:val="002C589C"/>
    <w:rsid w:val="002C66AE"/>
    <w:rsid w:val="002C66D7"/>
    <w:rsid w:val="002C68DD"/>
    <w:rsid w:val="002C7FAC"/>
    <w:rsid w:val="002D00A5"/>
    <w:rsid w:val="002D09F0"/>
    <w:rsid w:val="002D0FCB"/>
    <w:rsid w:val="002D1263"/>
    <w:rsid w:val="002D1F21"/>
    <w:rsid w:val="002D21EE"/>
    <w:rsid w:val="002D353A"/>
    <w:rsid w:val="002D4031"/>
    <w:rsid w:val="002D459A"/>
    <w:rsid w:val="002D4619"/>
    <w:rsid w:val="002D4A3D"/>
    <w:rsid w:val="002D4D48"/>
    <w:rsid w:val="002D5154"/>
    <w:rsid w:val="002D5443"/>
    <w:rsid w:val="002D5C9F"/>
    <w:rsid w:val="002D63D7"/>
    <w:rsid w:val="002D69BF"/>
    <w:rsid w:val="002E00E2"/>
    <w:rsid w:val="002E0474"/>
    <w:rsid w:val="002E075D"/>
    <w:rsid w:val="002E19F7"/>
    <w:rsid w:val="002E1E65"/>
    <w:rsid w:val="002E1E83"/>
    <w:rsid w:val="002E275C"/>
    <w:rsid w:val="002E5821"/>
    <w:rsid w:val="002E5CC7"/>
    <w:rsid w:val="002E5FB9"/>
    <w:rsid w:val="002E6C7A"/>
    <w:rsid w:val="002E6D05"/>
    <w:rsid w:val="002E7307"/>
    <w:rsid w:val="002E7735"/>
    <w:rsid w:val="002F082C"/>
    <w:rsid w:val="002F095F"/>
    <w:rsid w:val="002F1281"/>
    <w:rsid w:val="002F1375"/>
    <w:rsid w:val="002F1C28"/>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E89"/>
    <w:rsid w:val="00313920"/>
    <w:rsid w:val="00313FC7"/>
    <w:rsid w:val="00314679"/>
    <w:rsid w:val="00314835"/>
    <w:rsid w:val="00316736"/>
    <w:rsid w:val="00316A41"/>
    <w:rsid w:val="00316B6A"/>
    <w:rsid w:val="003173B8"/>
    <w:rsid w:val="0031749B"/>
    <w:rsid w:val="003174AB"/>
    <w:rsid w:val="00317F5D"/>
    <w:rsid w:val="003204C2"/>
    <w:rsid w:val="0032095E"/>
    <w:rsid w:val="00321415"/>
    <w:rsid w:val="00321488"/>
    <w:rsid w:val="00321977"/>
    <w:rsid w:val="003221F9"/>
    <w:rsid w:val="00322B03"/>
    <w:rsid w:val="00322E7B"/>
    <w:rsid w:val="003240DA"/>
    <w:rsid w:val="003246C5"/>
    <w:rsid w:val="00324D8B"/>
    <w:rsid w:val="0032585B"/>
    <w:rsid w:val="00326F23"/>
    <w:rsid w:val="003270CA"/>
    <w:rsid w:val="0032773A"/>
    <w:rsid w:val="0032798D"/>
    <w:rsid w:val="00327AE9"/>
    <w:rsid w:val="00327DF5"/>
    <w:rsid w:val="00330324"/>
    <w:rsid w:val="003303FB"/>
    <w:rsid w:val="0033097B"/>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F1E"/>
    <w:rsid w:val="003451B2"/>
    <w:rsid w:val="00346E30"/>
    <w:rsid w:val="00347258"/>
    <w:rsid w:val="003474BE"/>
    <w:rsid w:val="00347BEA"/>
    <w:rsid w:val="003507D3"/>
    <w:rsid w:val="00350BD8"/>
    <w:rsid w:val="00350C5D"/>
    <w:rsid w:val="00351135"/>
    <w:rsid w:val="0035129C"/>
    <w:rsid w:val="00352E06"/>
    <w:rsid w:val="00353189"/>
    <w:rsid w:val="0035356F"/>
    <w:rsid w:val="003537F7"/>
    <w:rsid w:val="00355061"/>
    <w:rsid w:val="00355713"/>
    <w:rsid w:val="00355E5D"/>
    <w:rsid w:val="00355EC4"/>
    <w:rsid w:val="0035612C"/>
    <w:rsid w:val="00356BD0"/>
    <w:rsid w:val="00356BEC"/>
    <w:rsid w:val="00356DBB"/>
    <w:rsid w:val="00356E7E"/>
    <w:rsid w:val="00356EE7"/>
    <w:rsid w:val="00357105"/>
    <w:rsid w:val="003578BC"/>
    <w:rsid w:val="0036107A"/>
    <w:rsid w:val="0036136E"/>
    <w:rsid w:val="0036190A"/>
    <w:rsid w:val="00361FD6"/>
    <w:rsid w:val="0036206A"/>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2721"/>
    <w:rsid w:val="00373036"/>
    <w:rsid w:val="00373A51"/>
    <w:rsid w:val="0037419A"/>
    <w:rsid w:val="00375672"/>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151"/>
    <w:rsid w:val="003C6A00"/>
    <w:rsid w:val="003C7BBF"/>
    <w:rsid w:val="003C7F3C"/>
    <w:rsid w:val="003D02A0"/>
    <w:rsid w:val="003D0FEC"/>
    <w:rsid w:val="003D1106"/>
    <w:rsid w:val="003D2061"/>
    <w:rsid w:val="003D2CC5"/>
    <w:rsid w:val="003D3475"/>
    <w:rsid w:val="003D3F1E"/>
    <w:rsid w:val="003D4E36"/>
    <w:rsid w:val="003D516D"/>
    <w:rsid w:val="003D6550"/>
    <w:rsid w:val="003D6EDD"/>
    <w:rsid w:val="003D71CA"/>
    <w:rsid w:val="003D77A3"/>
    <w:rsid w:val="003E049F"/>
    <w:rsid w:val="003E0622"/>
    <w:rsid w:val="003E0CA3"/>
    <w:rsid w:val="003E11DA"/>
    <w:rsid w:val="003E1233"/>
    <w:rsid w:val="003E3218"/>
    <w:rsid w:val="003E5CD8"/>
    <w:rsid w:val="003E6522"/>
    <w:rsid w:val="003E7228"/>
    <w:rsid w:val="003E7DE1"/>
    <w:rsid w:val="003E7FA3"/>
    <w:rsid w:val="003F0119"/>
    <w:rsid w:val="003F05E7"/>
    <w:rsid w:val="003F185E"/>
    <w:rsid w:val="003F1864"/>
    <w:rsid w:val="003F2547"/>
    <w:rsid w:val="003F2FB0"/>
    <w:rsid w:val="003F3385"/>
    <w:rsid w:val="003F39A1"/>
    <w:rsid w:val="003F3DB7"/>
    <w:rsid w:val="003F3F0D"/>
    <w:rsid w:val="003F61C1"/>
    <w:rsid w:val="003F7644"/>
    <w:rsid w:val="004004E5"/>
    <w:rsid w:val="004008C3"/>
    <w:rsid w:val="00400976"/>
    <w:rsid w:val="0040157F"/>
    <w:rsid w:val="00402182"/>
    <w:rsid w:val="00402B7E"/>
    <w:rsid w:val="00402C56"/>
    <w:rsid w:val="00402EF9"/>
    <w:rsid w:val="00405030"/>
    <w:rsid w:val="00405919"/>
    <w:rsid w:val="00406240"/>
    <w:rsid w:val="004068F6"/>
    <w:rsid w:val="00407A01"/>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D3B"/>
    <w:rsid w:val="00427852"/>
    <w:rsid w:val="0043045D"/>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415F"/>
    <w:rsid w:val="0044673A"/>
    <w:rsid w:val="00446AC7"/>
    <w:rsid w:val="00446EE9"/>
    <w:rsid w:val="00447602"/>
    <w:rsid w:val="004476D4"/>
    <w:rsid w:val="00450100"/>
    <w:rsid w:val="00450939"/>
    <w:rsid w:val="00451DA5"/>
    <w:rsid w:val="00452F80"/>
    <w:rsid w:val="004530B7"/>
    <w:rsid w:val="00453A53"/>
    <w:rsid w:val="00454B27"/>
    <w:rsid w:val="00454DB4"/>
    <w:rsid w:val="00455136"/>
    <w:rsid w:val="0045618F"/>
    <w:rsid w:val="004562FC"/>
    <w:rsid w:val="00457668"/>
    <w:rsid w:val="00457E67"/>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37B8"/>
    <w:rsid w:val="0047495F"/>
    <w:rsid w:val="00474B84"/>
    <w:rsid w:val="00475DD3"/>
    <w:rsid w:val="00476639"/>
    <w:rsid w:val="0047683F"/>
    <w:rsid w:val="00476B18"/>
    <w:rsid w:val="0047702E"/>
    <w:rsid w:val="004770B8"/>
    <w:rsid w:val="004775DC"/>
    <w:rsid w:val="004777EE"/>
    <w:rsid w:val="00477CB6"/>
    <w:rsid w:val="00480659"/>
    <w:rsid w:val="0048072E"/>
    <w:rsid w:val="00480A2A"/>
    <w:rsid w:val="00480C38"/>
    <w:rsid w:val="004810E8"/>
    <w:rsid w:val="0048281A"/>
    <w:rsid w:val="004828F1"/>
    <w:rsid w:val="00482DCD"/>
    <w:rsid w:val="00483387"/>
    <w:rsid w:val="004839D5"/>
    <w:rsid w:val="004845F0"/>
    <w:rsid w:val="0048476D"/>
    <w:rsid w:val="0048488D"/>
    <w:rsid w:val="0048543A"/>
    <w:rsid w:val="0048575F"/>
    <w:rsid w:val="00485F8A"/>
    <w:rsid w:val="0048621F"/>
    <w:rsid w:val="004878C8"/>
    <w:rsid w:val="004901A5"/>
    <w:rsid w:val="004911EA"/>
    <w:rsid w:val="004911EC"/>
    <w:rsid w:val="004919C4"/>
    <w:rsid w:val="004919FC"/>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B7DCF"/>
    <w:rsid w:val="004C003F"/>
    <w:rsid w:val="004C104D"/>
    <w:rsid w:val="004C10B8"/>
    <w:rsid w:val="004C224E"/>
    <w:rsid w:val="004C3277"/>
    <w:rsid w:val="004C5075"/>
    <w:rsid w:val="004C61B7"/>
    <w:rsid w:val="004C6886"/>
    <w:rsid w:val="004C6C7F"/>
    <w:rsid w:val="004C7468"/>
    <w:rsid w:val="004D10FB"/>
    <w:rsid w:val="004D1B83"/>
    <w:rsid w:val="004D1BC9"/>
    <w:rsid w:val="004D43EC"/>
    <w:rsid w:val="004D518B"/>
    <w:rsid w:val="004D58C1"/>
    <w:rsid w:val="004D5F45"/>
    <w:rsid w:val="004D676D"/>
    <w:rsid w:val="004D6A26"/>
    <w:rsid w:val="004D798A"/>
    <w:rsid w:val="004D7E44"/>
    <w:rsid w:val="004E051B"/>
    <w:rsid w:val="004E0CF4"/>
    <w:rsid w:val="004E1EFC"/>
    <w:rsid w:val="004E318F"/>
    <w:rsid w:val="004E3FC2"/>
    <w:rsid w:val="004E4743"/>
    <w:rsid w:val="004E4D65"/>
    <w:rsid w:val="004E50F5"/>
    <w:rsid w:val="004E6171"/>
    <w:rsid w:val="004E6FFE"/>
    <w:rsid w:val="004E74AB"/>
    <w:rsid w:val="004E7A57"/>
    <w:rsid w:val="004E7DF5"/>
    <w:rsid w:val="004F01C9"/>
    <w:rsid w:val="004F023C"/>
    <w:rsid w:val="004F0E03"/>
    <w:rsid w:val="004F1977"/>
    <w:rsid w:val="004F256E"/>
    <w:rsid w:val="004F2AEF"/>
    <w:rsid w:val="004F4128"/>
    <w:rsid w:val="004F4193"/>
    <w:rsid w:val="004F44D0"/>
    <w:rsid w:val="004F45CD"/>
    <w:rsid w:val="004F4773"/>
    <w:rsid w:val="004F49E2"/>
    <w:rsid w:val="004F4EE3"/>
    <w:rsid w:val="004F585E"/>
    <w:rsid w:val="004F5C6E"/>
    <w:rsid w:val="004F5D58"/>
    <w:rsid w:val="004F719F"/>
    <w:rsid w:val="00500172"/>
    <w:rsid w:val="00500317"/>
    <w:rsid w:val="00500A05"/>
    <w:rsid w:val="00501086"/>
    <w:rsid w:val="00501C27"/>
    <w:rsid w:val="005028C4"/>
    <w:rsid w:val="005029C8"/>
    <w:rsid w:val="00503570"/>
    <w:rsid w:val="0050372C"/>
    <w:rsid w:val="00503771"/>
    <w:rsid w:val="0050408E"/>
    <w:rsid w:val="00504AB7"/>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015"/>
    <w:rsid w:val="00513588"/>
    <w:rsid w:val="00513800"/>
    <w:rsid w:val="00513D6F"/>
    <w:rsid w:val="00514506"/>
    <w:rsid w:val="0051550E"/>
    <w:rsid w:val="005170B6"/>
    <w:rsid w:val="00517AA9"/>
    <w:rsid w:val="005206E8"/>
    <w:rsid w:val="00520DE5"/>
    <w:rsid w:val="00520EF2"/>
    <w:rsid w:val="00520F91"/>
    <w:rsid w:val="0052102A"/>
    <w:rsid w:val="0052104A"/>
    <w:rsid w:val="005217D8"/>
    <w:rsid w:val="00522A67"/>
    <w:rsid w:val="005231BA"/>
    <w:rsid w:val="005248B4"/>
    <w:rsid w:val="00525567"/>
    <w:rsid w:val="00525A80"/>
    <w:rsid w:val="005261E2"/>
    <w:rsid w:val="005261E3"/>
    <w:rsid w:val="00526645"/>
    <w:rsid w:val="00526C96"/>
    <w:rsid w:val="005270B5"/>
    <w:rsid w:val="005304CB"/>
    <w:rsid w:val="00530B05"/>
    <w:rsid w:val="00531493"/>
    <w:rsid w:val="00531978"/>
    <w:rsid w:val="00532C45"/>
    <w:rsid w:val="00533CBE"/>
    <w:rsid w:val="005358A3"/>
    <w:rsid w:val="00536CFF"/>
    <w:rsid w:val="00536E38"/>
    <w:rsid w:val="00536F89"/>
    <w:rsid w:val="005378C6"/>
    <w:rsid w:val="00540BF3"/>
    <w:rsid w:val="00540DF8"/>
    <w:rsid w:val="00541CD9"/>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100A"/>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0C87"/>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8D"/>
    <w:rsid w:val="0058139F"/>
    <w:rsid w:val="005813FB"/>
    <w:rsid w:val="0058197B"/>
    <w:rsid w:val="005823B8"/>
    <w:rsid w:val="005824B7"/>
    <w:rsid w:val="005833F3"/>
    <w:rsid w:val="005835D5"/>
    <w:rsid w:val="00584D1B"/>
    <w:rsid w:val="0058549C"/>
    <w:rsid w:val="00585C25"/>
    <w:rsid w:val="005869C5"/>
    <w:rsid w:val="00586D8B"/>
    <w:rsid w:val="005900C2"/>
    <w:rsid w:val="005903AF"/>
    <w:rsid w:val="00590835"/>
    <w:rsid w:val="005926B9"/>
    <w:rsid w:val="00592C62"/>
    <w:rsid w:val="00593636"/>
    <w:rsid w:val="00594479"/>
    <w:rsid w:val="005944B7"/>
    <w:rsid w:val="00594B23"/>
    <w:rsid w:val="00594ED5"/>
    <w:rsid w:val="00595AF2"/>
    <w:rsid w:val="00596357"/>
    <w:rsid w:val="00597347"/>
    <w:rsid w:val="00597EC9"/>
    <w:rsid w:val="005A051A"/>
    <w:rsid w:val="005A0FE5"/>
    <w:rsid w:val="005A14D2"/>
    <w:rsid w:val="005A199D"/>
    <w:rsid w:val="005A1B59"/>
    <w:rsid w:val="005A3408"/>
    <w:rsid w:val="005A3D63"/>
    <w:rsid w:val="005A5459"/>
    <w:rsid w:val="005A60F0"/>
    <w:rsid w:val="005A675F"/>
    <w:rsid w:val="005A78EE"/>
    <w:rsid w:val="005B038A"/>
    <w:rsid w:val="005B0F90"/>
    <w:rsid w:val="005B0F92"/>
    <w:rsid w:val="005B133B"/>
    <w:rsid w:val="005B1437"/>
    <w:rsid w:val="005B238E"/>
    <w:rsid w:val="005B2885"/>
    <w:rsid w:val="005B3000"/>
    <w:rsid w:val="005B305D"/>
    <w:rsid w:val="005B3529"/>
    <w:rsid w:val="005B3FAF"/>
    <w:rsid w:val="005B5F34"/>
    <w:rsid w:val="005B6598"/>
    <w:rsid w:val="005B6784"/>
    <w:rsid w:val="005B6988"/>
    <w:rsid w:val="005B7248"/>
    <w:rsid w:val="005B7EC7"/>
    <w:rsid w:val="005C0B8D"/>
    <w:rsid w:val="005C0B9F"/>
    <w:rsid w:val="005C1A3E"/>
    <w:rsid w:val="005C1CAA"/>
    <w:rsid w:val="005C29CC"/>
    <w:rsid w:val="005C30AF"/>
    <w:rsid w:val="005C32E8"/>
    <w:rsid w:val="005C3A77"/>
    <w:rsid w:val="005C3FE4"/>
    <w:rsid w:val="005C4421"/>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6B57"/>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C12"/>
    <w:rsid w:val="006258DA"/>
    <w:rsid w:val="006259BF"/>
    <w:rsid w:val="00626617"/>
    <w:rsid w:val="00626CE5"/>
    <w:rsid w:val="00630016"/>
    <w:rsid w:val="00630418"/>
    <w:rsid w:val="006314BB"/>
    <w:rsid w:val="0063155F"/>
    <w:rsid w:val="00631A71"/>
    <w:rsid w:val="006325D8"/>
    <w:rsid w:val="00632F42"/>
    <w:rsid w:val="00633BFA"/>
    <w:rsid w:val="00633E95"/>
    <w:rsid w:val="006347D1"/>
    <w:rsid w:val="00634DAA"/>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6F50"/>
    <w:rsid w:val="006571C4"/>
    <w:rsid w:val="00657955"/>
    <w:rsid w:val="00657F4B"/>
    <w:rsid w:val="00657FB7"/>
    <w:rsid w:val="00660417"/>
    <w:rsid w:val="00661B67"/>
    <w:rsid w:val="0066345C"/>
    <w:rsid w:val="00664266"/>
    <w:rsid w:val="0066487D"/>
    <w:rsid w:val="00664D10"/>
    <w:rsid w:val="0066568B"/>
    <w:rsid w:val="00666DDD"/>
    <w:rsid w:val="006679AA"/>
    <w:rsid w:val="0067018E"/>
    <w:rsid w:val="006713EC"/>
    <w:rsid w:val="006714BB"/>
    <w:rsid w:val="00671756"/>
    <w:rsid w:val="006735EA"/>
    <w:rsid w:val="00673AF4"/>
    <w:rsid w:val="00673D04"/>
    <w:rsid w:val="00673E2B"/>
    <w:rsid w:val="006754D7"/>
    <w:rsid w:val="00675DB5"/>
    <w:rsid w:val="00676247"/>
    <w:rsid w:val="00677AF3"/>
    <w:rsid w:val="00680155"/>
    <w:rsid w:val="006815AA"/>
    <w:rsid w:val="00681E56"/>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2C8A"/>
    <w:rsid w:val="006933AD"/>
    <w:rsid w:val="00693C3A"/>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884"/>
    <w:rsid w:val="006A298A"/>
    <w:rsid w:val="006A3CF5"/>
    <w:rsid w:val="006A3F7E"/>
    <w:rsid w:val="006A4BE2"/>
    <w:rsid w:val="006A59F5"/>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C1A"/>
    <w:rsid w:val="006C4CCB"/>
    <w:rsid w:val="006C582F"/>
    <w:rsid w:val="006C585B"/>
    <w:rsid w:val="006C70D2"/>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1BC8"/>
    <w:rsid w:val="006E272D"/>
    <w:rsid w:val="006E280E"/>
    <w:rsid w:val="006E3762"/>
    <w:rsid w:val="006E4E31"/>
    <w:rsid w:val="006E593E"/>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CD8"/>
    <w:rsid w:val="00702DA3"/>
    <w:rsid w:val="0070325D"/>
    <w:rsid w:val="0070327C"/>
    <w:rsid w:val="0070388A"/>
    <w:rsid w:val="007038A6"/>
    <w:rsid w:val="00703D35"/>
    <w:rsid w:val="00703F30"/>
    <w:rsid w:val="0070489D"/>
    <w:rsid w:val="007053AF"/>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2CD7"/>
    <w:rsid w:val="007138D8"/>
    <w:rsid w:val="007138EC"/>
    <w:rsid w:val="007141B7"/>
    <w:rsid w:val="007143E9"/>
    <w:rsid w:val="007147D0"/>
    <w:rsid w:val="00714FF4"/>
    <w:rsid w:val="007151C1"/>
    <w:rsid w:val="007159F1"/>
    <w:rsid w:val="00715F7D"/>
    <w:rsid w:val="007169BE"/>
    <w:rsid w:val="007174EA"/>
    <w:rsid w:val="007203FC"/>
    <w:rsid w:val="00720852"/>
    <w:rsid w:val="00720C33"/>
    <w:rsid w:val="00720FDE"/>
    <w:rsid w:val="00721714"/>
    <w:rsid w:val="00721A10"/>
    <w:rsid w:val="00721A67"/>
    <w:rsid w:val="00722ADF"/>
    <w:rsid w:val="00723838"/>
    <w:rsid w:val="00723AB9"/>
    <w:rsid w:val="00723FCD"/>
    <w:rsid w:val="00724302"/>
    <w:rsid w:val="00724764"/>
    <w:rsid w:val="007249E6"/>
    <w:rsid w:val="00725B35"/>
    <w:rsid w:val="00727099"/>
    <w:rsid w:val="0073032C"/>
    <w:rsid w:val="007309EC"/>
    <w:rsid w:val="0073112A"/>
    <w:rsid w:val="007324B7"/>
    <w:rsid w:val="00732EF4"/>
    <w:rsid w:val="007342F9"/>
    <w:rsid w:val="00735354"/>
    <w:rsid w:val="00735BD7"/>
    <w:rsid w:val="0073601B"/>
    <w:rsid w:val="00736210"/>
    <w:rsid w:val="0073674D"/>
    <w:rsid w:val="00736C1C"/>
    <w:rsid w:val="00736D98"/>
    <w:rsid w:val="00737689"/>
    <w:rsid w:val="00737763"/>
    <w:rsid w:val="007377CE"/>
    <w:rsid w:val="00737B7A"/>
    <w:rsid w:val="00737D65"/>
    <w:rsid w:val="00740F81"/>
    <w:rsid w:val="00741006"/>
    <w:rsid w:val="00743635"/>
    <w:rsid w:val="007445A8"/>
    <w:rsid w:val="007463A1"/>
    <w:rsid w:val="00746ACB"/>
    <w:rsid w:val="00747647"/>
    <w:rsid w:val="007476F1"/>
    <w:rsid w:val="00747BC0"/>
    <w:rsid w:val="007508B8"/>
    <w:rsid w:val="00751086"/>
    <w:rsid w:val="00751CD4"/>
    <w:rsid w:val="00751F5E"/>
    <w:rsid w:val="0075219B"/>
    <w:rsid w:val="0075312B"/>
    <w:rsid w:val="0075461E"/>
    <w:rsid w:val="00754FAF"/>
    <w:rsid w:val="00755264"/>
    <w:rsid w:val="00755EBC"/>
    <w:rsid w:val="00756BE8"/>
    <w:rsid w:val="0076021D"/>
    <w:rsid w:val="007602E4"/>
    <w:rsid w:val="0076107F"/>
    <w:rsid w:val="007616A9"/>
    <w:rsid w:val="00761F3A"/>
    <w:rsid w:val="00762952"/>
    <w:rsid w:val="00763D69"/>
    <w:rsid w:val="00764229"/>
    <w:rsid w:val="0076429B"/>
    <w:rsid w:val="0076574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3B0E"/>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87805"/>
    <w:rsid w:val="00790CBB"/>
    <w:rsid w:val="00790E98"/>
    <w:rsid w:val="00791ADD"/>
    <w:rsid w:val="007924B2"/>
    <w:rsid w:val="00794FE9"/>
    <w:rsid w:val="00795B50"/>
    <w:rsid w:val="0079663F"/>
    <w:rsid w:val="0079792E"/>
    <w:rsid w:val="00797A48"/>
    <w:rsid w:val="007A076B"/>
    <w:rsid w:val="007A0ACE"/>
    <w:rsid w:val="007A0C08"/>
    <w:rsid w:val="007A14D8"/>
    <w:rsid w:val="007A20DB"/>
    <w:rsid w:val="007A2364"/>
    <w:rsid w:val="007A4499"/>
    <w:rsid w:val="007A4F6A"/>
    <w:rsid w:val="007A5543"/>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8BD"/>
    <w:rsid w:val="007B79DA"/>
    <w:rsid w:val="007C0A8F"/>
    <w:rsid w:val="007C1FC8"/>
    <w:rsid w:val="007C5469"/>
    <w:rsid w:val="007C59DF"/>
    <w:rsid w:val="007C733B"/>
    <w:rsid w:val="007C79AC"/>
    <w:rsid w:val="007C7F4B"/>
    <w:rsid w:val="007D02E8"/>
    <w:rsid w:val="007D150A"/>
    <w:rsid w:val="007D1E1B"/>
    <w:rsid w:val="007D1FC9"/>
    <w:rsid w:val="007D308F"/>
    <w:rsid w:val="007D325E"/>
    <w:rsid w:val="007D396B"/>
    <w:rsid w:val="007D4382"/>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A16"/>
    <w:rsid w:val="007E0B57"/>
    <w:rsid w:val="007E0E13"/>
    <w:rsid w:val="007E188E"/>
    <w:rsid w:val="007E20DF"/>
    <w:rsid w:val="007E2112"/>
    <w:rsid w:val="007E2276"/>
    <w:rsid w:val="007E2437"/>
    <w:rsid w:val="007E266F"/>
    <w:rsid w:val="007E2FF2"/>
    <w:rsid w:val="007E3429"/>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BE7"/>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553"/>
    <w:rsid w:val="0080265E"/>
    <w:rsid w:val="0080332C"/>
    <w:rsid w:val="008033BB"/>
    <w:rsid w:val="008037C4"/>
    <w:rsid w:val="0080612F"/>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30162"/>
    <w:rsid w:val="00830550"/>
    <w:rsid w:val="00831022"/>
    <w:rsid w:val="0083116A"/>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1B71"/>
    <w:rsid w:val="00841FCC"/>
    <w:rsid w:val="00842255"/>
    <w:rsid w:val="00843D0B"/>
    <w:rsid w:val="0084411F"/>
    <w:rsid w:val="008449C6"/>
    <w:rsid w:val="00844A79"/>
    <w:rsid w:val="00844C3D"/>
    <w:rsid w:val="00845A10"/>
    <w:rsid w:val="008463DA"/>
    <w:rsid w:val="00847166"/>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9F3"/>
    <w:rsid w:val="008572DB"/>
    <w:rsid w:val="00857721"/>
    <w:rsid w:val="0086089A"/>
    <w:rsid w:val="00861352"/>
    <w:rsid w:val="0086282A"/>
    <w:rsid w:val="00863D31"/>
    <w:rsid w:val="00864706"/>
    <w:rsid w:val="00866243"/>
    <w:rsid w:val="00866752"/>
    <w:rsid w:val="00866841"/>
    <w:rsid w:val="008675A0"/>
    <w:rsid w:val="008675A1"/>
    <w:rsid w:val="00867BEC"/>
    <w:rsid w:val="008710E2"/>
    <w:rsid w:val="008713B0"/>
    <w:rsid w:val="00871D2D"/>
    <w:rsid w:val="00873A0B"/>
    <w:rsid w:val="00873D7C"/>
    <w:rsid w:val="008747DE"/>
    <w:rsid w:val="008749C6"/>
    <w:rsid w:val="00876E22"/>
    <w:rsid w:val="0087721A"/>
    <w:rsid w:val="0087767E"/>
    <w:rsid w:val="008779AB"/>
    <w:rsid w:val="00877EFB"/>
    <w:rsid w:val="00877FD8"/>
    <w:rsid w:val="0088217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05D"/>
    <w:rsid w:val="00893B21"/>
    <w:rsid w:val="00894867"/>
    <w:rsid w:val="0089522F"/>
    <w:rsid w:val="0089557F"/>
    <w:rsid w:val="00896C88"/>
    <w:rsid w:val="008A0072"/>
    <w:rsid w:val="008A0191"/>
    <w:rsid w:val="008A1BD4"/>
    <w:rsid w:val="008A1D09"/>
    <w:rsid w:val="008A2902"/>
    <w:rsid w:val="008A2DEF"/>
    <w:rsid w:val="008A2FEF"/>
    <w:rsid w:val="008A3A82"/>
    <w:rsid w:val="008A3E52"/>
    <w:rsid w:val="008A545F"/>
    <w:rsid w:val="008A65F4"/>
    <w:rsid w:val="008A6E25"/>
    <w:rsid w:val="008A705B"/>
    <w:rsid w:val="008A740A"/>
    <w:rsid w:val="008A7A81"/>
    <w:rsid w:val="008A7F0E"/>
    <w:rsid w:val="008B0386"/>
    <w:rsid w:val="008B0ADA"/>
    <w:rsid w:val="008B14D9"/>
    <w:rsid w:val="008B1C02"/>
    <w:rsid w:val="008B31BD"/>
    <w:rsid w:val="008B4052"/>
    <w:rsid w:val="008B462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0E26"/>
    <w:rsid w:val="008D263E"/>
    <w:rsid w:val="008D2FCC"/>
    <w:rsid w:val="008D360F"/>
    <w:rsid w:val="008D36D4"/>
    <w:rsid w:val="008D3AD0"/>
    <w:rsid w:val="008D42C2"/>
    <w:rsid w:val="008D46EA"/>
    <w:rsid w:val="008D48CC"/>
    <w:rsid w:val="008D566A"/>
    <w:rsid w:val="008D5C8E"/>
    <w:rsid w:val="008D5FF3"/>
    <w:rsid w:val="008D6025"/>
    <w:rsid w:val="008D65AC"/>
    <w:rsid w:val="008D6D46"/>
    <w:rsid w:val="008E0B9E"/>
    <w:rsid w:val="008E1314"/>
    <w:rsid w:val="008E1587"/>
    <w:rsid w:val="008E1D5D"/>
    <w:rsid w:val="008E1D9E"/>
    <w:rsid w:val="008E2AFC"/>
    <w:rsid w:val="008E2D2F"/>
    <w:rsid w:val="008E387A"/>
    <w:rsid w:val="008E3CCA"/>
    <w:rsid w:val="008E4A04"/>
    <w:rsid w:val="008E69C3"/>
    <w:rsid w:val="008E6A8D"/>
    <w:rsid w:val="008E7918"/>
    <w:rsid w:val="008E7E92"/>
    <w:rsid w:val="008F118F"/>
    <w:rsid w:val="008F1484"/>
    <w:rsid w:val="008F1578"/>
    <w:rsid w:val="008F15C1"/>
    <w:rsid w:val="008F2BDE"/>
    <w:rsid w:val="008F33A2"/>
    <w:rsid w:val="008F3481"/>
    <w:rsid w:val="008F39D3"/>
    <w:rsid w:val="008F4344"/>
    <w:rsid w:val="008F43AE"/>
    <w:rsid w:val="008F46E9"/>
    <w:rsid w:val="008F4732"/>
    <w:rsid w:val="008F54CD"/>
    <w:rsid w:val="008F6CEC"/>
    <w:rsid w:val="00900018"/>
    <w:rsid w:val="00900A1D"/>
    <w:rsid w:val="00900C80"/>
    <w:rsid w:val="00901C9F"/>
    <w:rsid w:val="0090234B"/>
    <w:rsid w:val="00902D7A"/>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936"/>
    <w:rsid w:val="00943111"/>
    <w:rsid w:val="00943FB3"/>
    <w:rsid w:val="00944230"/>
    <w:rsid w:val="00944282"/>
    <w:rsid w:val="009442E5"/>
    <w:rsid w:val="009444B0"/>
    <w:rsid w:val="00944B13"/>
    <w:rsid w:val="00944FDD"/>
    <w:rsid w:val="00946609"/>
    <w:rsid w:val="0094682C"/>
    <w:rsid w:val="00946A0E"/>
    <w:rsid w:val="009478EB"/>
    <w:rsid w:val="00947F82"/>
    <w:rsid w:val="0095037A"/>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60E2F"/>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6C6C"/>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26F"/>
    <w:rsid w:val="009904D0"/>
    <w:rsid w:val="00990C71"/>
    <w:rsid w:val="00990CA0"/>
    <w:rsid w:val="0099120F"/>
    <w:rsid w:val="00994F3D"/>
    <w:rsid w:val="00996226"/>
    <w:rsid w:val="00996E81"/>
    <w:rsid w:val="009A0DED"/>
    <w:rsid w:val="009A1040"/>
    <w:rsid w:val="009A16C9"/>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0FD5"/>
    <w:rsid w:val="009B1607"/>
    <w:rsid w:val="009B2A17"/>
    <w:rsid w:val="009B388F"/>
    <w:rsid w:val="009B4F5A"/>
    <w:rsid w:val="009B5E67"/>
    <w:rsid w:val="009B6681"/>
    <w:rsid w:val="009B6F48"/>
    <w:rsid w:val="009B7E5F"/>
    <w:rsid w:val="009C015D"/>
    <w:rsid w:val="009C018F"/>
    <w:rsid w:val="009C0E9B"/>
    <w:rsid w:val="009C1B77"/>
    <w:rsid w:val="009C238E"/>
    <w:rsid w:val="009C270A"/>
    <w:rsid w:val="009C2725"/>
    <w:rsid w:val="009C299B"/>
    <w:rsid w:val="009C2BA2"/>
    <w:rsid w:val="009C327A"/>
    <w:rsid w:val="009C4180"/>
    <w:rsid w:val="009C4AC6"/>
    <w:rsid w:val="009C5342"/>
    <w:rsid w:val="009C5ECA"/>
    <w:rsid w:val="009C64C1"/>
    <w:rsid w:val="009D0591"/>
    <w:rsid w:val="009D09DB"/>
    <w:rsid w:val="009D0C0B"/>
    <w:rsid w:val="009D0FB9"/>
    <w:rsid w:val="009D183E"/>
    <w:rsid w:val="009D2AE6"/>
    <w:rsid w:val="009D4630"/>
    <w:rsid w:val="009D4993"/>
    <w:rsid w:val="009D4B6A"/>
    <w:rsid w:val="009D4E25"/>
    <w:rsid w:val="009D5A9B"/>
    <w:rsid w:val="009D73E5"/>
    <w:rsid w:val="009D74C5"/>
    <w:rsid w:val="009D7503"/>
    <w:rsid w:val="009D768D"/>
    <w:rsid w:val="009D772D"/>
    <w:rsid w:val="009D7807"/>
    <w:rsid w:val="009D79BB"/>
    <w:rsid w:val="009D7E45"/>
    <w:rsid w:val="009E088B"/>
    <w:rsid w:val="009E0E57"/>
    <w:rsid w:val="009E0FC2"/>
    <w:rsid w:val="009E2D1A"/>
    <w:rsid w:val="009E34A2"/>
    <w:rsid w:val="009E353C"/>
    <w:rsid w:val="009E3B75"/>
    <w:rsid w:val="009E3CFD"/>
    <w:rsid w:val="009E4331"/>
    <w:rsid w:val="009E45A2"/>
    <w:rsid w:val="009E637B"/>
    <w:rsid w:val="009E74AE"/>
    <w:rsid w:val="009E74B1"/>
    <w:rsid w:val="009E7832"/>
    <w:rsid w:val="009F03F2"/>
    <w:rsid w:val="009F093A"/>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17B47"/>
    <w:rsid w:val="00A17C3D"/>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751"/>
    <w:rsid w:val="00A3599F"/>
    <w:rsid w:val="00A359AE"/>
    <w:rsid w:val="00A35DBE"/>
    <w:rsid w:val="00A36722"/>
    <w:rsid w:val="00A36F8D"/>
    <w:rsid w:val="00A37452"/>
    <w:rsid w:val="00A37902"/>
    <w:rsid w:val="00A37CBD"/>
    <w:rsid w:val="00A37D6C"/>
    <w:rsid w:val="00A37DA3"/>
    <w:rsid w:val="00A401BB"/>
    <w:rsid w:val="00A409DE"/>
    <w:rsid w:val="00A40A73"/>
    <w:rsid w:val="00A414FC"/>
    <w:rsid w:val="00A41804"/>
    <w:rsid w:val="00A41AC6"/>
    <w:rsid w:val="00A42074"/>
    <w:rsid w:val="00A423A9"/>
    <w:rsid w:val="00A428DF"/>
    <w:rsid w:val="00A43837"/>
    <w:rsid w:val="00A438C1"/>
    <w:rsid w:val="00A43C15"/>
    <w:rsid w:val="00A445B9"/>
    <w:rsid w:val="00A44A34"/>
    <w:rsid w:val="00A44D3B"/>
    <w:rsid w:val="00A45A11"/>
    <w:rsid w:val="00A45E96"/>
    <w:rsid w:val="00A4757A"/>
    <w:rsid w:val="00A47D94"/>
    <w:rsid w:val="00A516F6"/>
    <w:rsid w:val="00A5294A"/>
    <w:rsid w:val="00A52A51"/>
    <w:rsid w:val="00A52D92"/>
    <w:rsid w:val="00A535B1"/>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C3C"/>
    <w:rsid w:val="00A62F0A"/>
    <w:rsid w:val="00A6323D"/>
    <w:rsid w:val="00A63B6C"/>
    <w:rsid w:val="00A64A23"/>
    <w:rsid w:val="00A65653"/>
    <w:rsid w:val="00A6599E"/>
    <w:rsid w:val="00A65E02"/>
    <w:rsid w:val="00A65F35"/>
    <w:rsid w:val="00A67321"/>
    <w:rsid w:val="00A674AB"/>
    <w:rsid w:val="00A702E3"/>
    <w:rsid w:val="00A71435"/>
    <w:rsid w:val="00A715B7"/>
    <w:rsid w:val="00A7172E"/>
    <w:rsid w:val="00A71865"/>
    <w:rsid w:val="00A71DCD"/>
    <w:rsid w:val="00A72CF1"/>
    <w:rsid w:val="00A72DA6"/>
    <w:rsid w:val="00A73F56"/>
    <w:rsid w:val="00A740DE"/>
    <w:rsid w:val="00A741A6"/>
    <w:rsid w:val="00A74360"/>
    <w:rsid w:val="00A7479B"/>
    <w:rsid w:val="00A74E5A"/>
    <w:rsid w:val="00A75C59"/>
    <w:rsid w:val="00A76EBC"/>
    <w:rsid w:val="00A7731F"/>
    <w:rsid w:val="00A77A20"/>
    <w:rsid w:val="00A77C87"/>
    <w:rsid w:val="00A77CB1"/>
    <w:rsid w:val="00A8040D"/>
    <w:rsid w:val="00A8056B"/>
    <w:rsid w:val="00A80A22"/>
    <w:rsid w:val="00A8166A"/>
    <w:rsid w:val="00A81FE2"/>
    <w:rsid w:val="00A8255A"/>
    <w:rsid w:val="00A825C6"/>
    <w:rsid w:val="00A82663"/>
    <w:rsid w:val="00A82990"/>
    <w:rsid w:val="00A83307"/>
    <w:rsid w:val="00A8365A"/>
    <w:rsid w:val="00A84219"/>
    <w:rsid w:val="00A849E8"/>
    <w:rsid w:val="00A84F50"/>
    <w:rsid w:val="00A85AD7"/>
    <w:rsid w:val="00A86445"/>
    <w:rsid w:val="00A86AFF"/>
    <w:rsid w:val="00A876F3"/>
    <w:rsid w:val="00A90852"/>
    <w:rsid w:val="00A912E8"/>
    <w:rsid w:val="00A919EC"/>
    <w:rsid w:val="00A93A8D"/>
    <w:rsid w:val="00A93D10"/>
    <w:rsid w:val="00A949DA"/>
    <w:rsid w:val="00A959F0"/>
    <w:rsid w:val="00A95C53"/>
    <w:rsid w:val="00A961F5"/>
    <w:rsid w:val="00A962FC"/>
    <w:rsid w:val="00A9686F"/>
    <w:rsid w:val="00A96A22"/>
    <w:rsid w:val="00A97B5C"/>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A99"/>
    <w:rsid w:val="00AB3C0D"/>
    <w:rsid w:val="00AB3CBF"/>
    <w:rsid w:val="00AB3DDC"/>
    <w:rsid w:val="00AB4783"/>
    <w:rsid w:val="00AB4BA2"/>
    <w:rsid w:val="00AB5EB8"/>
    <w:rsid w:val="00AB6BE4"/>
    <w:rsid w:val="00AB77F7"/>
    <w:rsid w:val="00AB7EBB"/>
    <w:rsid w:val="00AC06A0"/>
    <w:rsid w:val="00AC12C3"/>
    <w:rsid w:val="00AC1747"/>
    <w:rsid w:val="00AC1D71"/>
    <w:rsid w:val="00AC2137"/>
    <w:rsid w:val="00AC2198"/>
    <w:rsid w:val="00AC2366"/>
    <w:rsid w:val="00AC2368"/>
    <w:rsid w:val="00AC2CE5"/>
    <w:rsid w:val="00AC2EA9"/>
    <w:rsid w:val="00AC40EB"/>
    <w:rsid w:val="00AC422C"/>
    <w:rsid w:val="00AC4599"/>
    <w:rsid w:val="00AC4799"/>
    <w:rsid w:val="00AC490D"/>
    <w:rsid w:val="00AC53C7"/>
    <w:rsid w:val="00AC6A9C"/>
    <w:rsid w:val="00AC71EC"/>
    <w:rsid w:val="00AC7649"/>
    <w:rsid w:val="00AC78AD"/>
    <w:rsid w:val="00AD00FA"/>
    <w:rsid w:val="00AD0516"/>
    <w:rsid w:val="00AD0DD0"/>
    <w:rsid w:val="00AD11FE"/>
    <w:rsid w:val="00AD152B"/>
    <w:rsid w:val="00AD1BF4"/>
    <w:rsid w:val="00AD20F8"/>
    <w:rsid w:val="00AD2370"/>
    <w:rsid w:val="00AD3167"/>
    <w:rsid w:val="00AD4906"/>
    <w:rsid w:val="00AD547B"/>
    <w:rsid w:val="00AD5779"/>
    <w:rsid w:val="00AD5C3A"/>
    <w:rsid w:val="00AD6CDF"/>
    <w:rsid w:val="00AD72E5"/>
    <w:rsid w:val="00AD7342"/>
    <w:rsid w:val="00AD7CD4"/>
    <w:rsid w:val="00AE00CC"/>
    <w:rsid w:val="00AE0296"/>
    <w:rsid w:val="00AE053E"/>
    <w:rsid w:val="00AE0B8D"/>
    <w:rsid w:val="00AE144F"/>
    <w:rsid w:val="00AE1D34"/>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A5B"/>
    <w:rsid w:val="00B2249F"/>
    <w:rsid w:val="00B2260B"/>
    <w:rsid w:val="00B23E2C"/>
    <w:rsid w:val="00B249BA"/>
    <w:rsid w:val="00B24A39"/>
    <w:rsid w:val="00B258DF"/>
    <w:rsid w:val="00B3001F"/>
    <w:rsid w:val="00B30115"/>
    <w:rsid w:val="00B31187"/>
    <w:rsid w:val="00B317F1"/>
    <w:rsid w:val="00B31912"/>
    <w:rsid w:val="00B319A7"/>
    <w:rsid w:val="00B31B14"/>
    <w:rsid w:val="00B31E18"/>
    <w:rsid w:val="00B32092"/>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8B5"/>
    <w:rsid w:val="00B514E9"/>
    <w:rsid w:val="00B51E31"/>
    <w:rsid w:val="00B523F9"/>
    <w:rsid w:val="00B524D4"/>
    <w:rsid w:val="00B525AD"/>
    <w:rsid w:val="00B53023"/>
    <w:rsid w:val="00B5328F"/>
    <w:rsid w:val="00B54632"/>
    <w:rsid w:val="00B55388"/>
    <w:rsid w:val="00B5593D"/>
    <w:rsid w:val="00B5763D"/>
    <w:rsid w:val="00B60821"/>
    <w:rsid w:val="00B60C71"/>
    <w:rsid w:val="00B61850"/>
    <w:rsid w:val="00B61AAB"/>
    <w:rsid w:val="00B634B5"/>
    <w:rsid w:val="00B63EEB"/>
    <w:rsid w:val="00B64432"/>
    <w:rsid w:val="00B64952"/>
    <w:rsid w:val="00B64A65"/>
    <w:rsid w:val="00B652BB"/>
    <w:rsid w:val="00B65F64"/>
    <w:rsid w:val="00B66FE8"/>
    <w:rsid w:val="00B67B61"/>
    <w:rsid w:val="00B67E56"/>
    <w:rsid w:val="00B70E1D"/>
    <w:rsid w:val="00B7121C"/>
    <w:rsid w:val="00B71783"/>
    <w:rsid w:val="00B71CFB"/>
    <w:rsid w:val="00B721BC"/>
    <w:rsid w:val="00B72327"/>
    <w:rsid w:val="00B73C7D"/>
    <w:rsid w:val="00B75427"/>
    <w:rsid w:val="00B75AE5"/>
    <w:rsid w:val="00B75B0C"/>
    <w:rsid w:val="00B76252"/>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0FA4"/>
    <w:rsid w:val="00B91990"/>
    <w:rsid w:val="00B91E88"/>
    <w:rsid w:val="00B91ED5"/>
    <w:rsid w:val="00B93109"/>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1B"/>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711A"/>
    <w:rsid w:val="00BB7205"/>
    <w:rsid w:val="00BB7431"/>
    <w:rsid w:val="00BB76EE"/>
    <w:rsid w:val="00BC0791"/>
    <w:rsid w:val="00BC0FA4"/>
    <w:rsid w:val="00BC12B0"/>
    <w:rsid w:val="00BC1329"/>
    <w:rsid w:val="00BC1BAE"/>
    <w:rsid w:val="00BC3CFC"/>
    <w:rsid w:val="00BC3E6B"/>
    <w:rsid w:val="00BC5409"/>
    <w:rsid w:val="00BC57F5"/>
    <w:rsid w:val="00BC5A3A"/>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6609"/>
    <w:rsid w:val="00BD6B3D"/>
    <w:rsid w:val="00BD7C54"/>
    <w:rsid w:val="00BD7DC6"/>
    <w:rsid w:val="00BE042E"/>
    <w:rsid w:val="00BE0508"/>
    <w:rsid w:val="00BE17C4"/>
    <w:rsid w:val="00BE1C96"/>
    <w:rsid w:val="00BE381F"/>
    <w:rsid w:val="00BE4193"/>
    <w:rsid w:val="00BE43D9"/>
    <w:rsid w:val="00BE58FA"/>
    <w:rsid w:val="00BE5C5E"/>
    <w:rsid w:val="00BE6288"/>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CE6"/>
    <w:rsid w:val="00BF7D8E"/>
    <w:rsid w:val="00C003B5"/>
    <w:rsid w:val="00C009C1"/>
    <w:rsid w:val="00C00C85"/>
    <w:rsid w:val="00C00ED8"/>
    <w:rsid w:val="00C02475"/>
    <w:rsid w:val="00C024C1"/>
    <w:rsid w:val="00C0309A"/>
    <w:rsid w:val="00C032A0"/>
    <w:rsid w:val="00C03319"/>
    <w:rsid w:val="00C03AC6"/>
    <w:rsid w:val="00C03ED8"/>
    <w:rsid w:val="00C0440B"/>
    <w:rsid w:val="00C059E3"/>
    <w:rsid w:val="00C07147"/>
    <w:rsid w:val="00C0772B"/>
    <w:rsid w:val="00C10DDB"/>
    <w:rsid w:val="00C11484"/>
    <w:rsid w:val="00C1241F"/>
    <w:rsid w:val="00C126DE"/>
    <w:rsid w:val="00C131FD"/>
    <w:rsid w:val="00C156E6"/>
    <w:rsid w:val="00C1575F"/>
    <w:rsid w:val="00C157A4"/>
    <w:rsid w:val="00C157D1"/>
    <w:rsid w:val="00C16240"/>
    <w:rsid w:val="00C165FD"/>
    <w:rsid w:val="00C1705C"/>
    <w:rsid w:val="00C1733C"/>
    <w:rsid w:val="00C17847"/>
    <w:rsid w:val="00C2085D"/>
    <w:rsid w:val="00C21289"/>
    <w:rsid w:val="00C21B23"/>
    <w:rsid w:val="00C21F42"/>
    <w:rsid w:val="00C22420"/>
    <w:rsid w:val="00C226CB"/>
    <w:rsid w:val="00C23C8F"/>
    <w:rsid w:val="00C24811"/>
    <w:rsid w:val="00C249F4"/>
    <w:rsid w:val="00C24B7B"/>
    <w:rsid w:val="00C251F3"/>
    <w:rsid w:val="00C25773"/>
    <w:rsid w:val="00C25E49"/>
    <w:rsid w:val="00C26B96"/>
    <w:rsid w:val="00C26DA1"/>
    <w:rsid w:val="00C2714B"/>
    <w:rsid w:val="00C30613"/>
    <w:rsid w:val="00C30BCD"/>
    <w:rsid w:val="00C315B8"/>
    <w:rsid w:val="00C31992"/>
    <w:rsid w:val="00C32502"/>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E6"/>
    <w:rsid w:val="00C45DA4"/>
    <w:rsid w:val="00C46E45"/>
    <w:rsid w:val="00C4709A"/>
    <w:rsid w:val="00C475D7"/>
    <w:rsid w:val="00C514F4"/>
    <w:rsid w:val="00C518FA"/>
    <w:rsid w:val="00C52531"/>
    <w:rsid w:val="00C5393C"/>
    <w:rsid w:val="00C53BEE"/>
    <w:rsid w:val="00C555D4"/>
    <w:rsid w:val="00C5581D"/>
    <w:rsid w:val="00C55F6C"/>
    <w:rsid w:val="00C56571"/>
    <w:rsid w:val="00C5689F"/>
    <w:rsid w:val="00C56D77"/>
    <w:rsid w:val="00C56EB4"/>
    <w:rsid w:val="00C60494"/>
    <w:rsid w:val="00C605A0"/>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8677F"/>
    <w:rsid w:val="00C86DB6"/>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2A19"/>
    <w:rsid w:val="00CA4265"/>
    <w:rsid w:val="00CA4F45"/>
    <w:rsid w:val="00CA57CE"/>
    <w:rsid w:val="00CA65DE"/>
    <w:rsid w:val="00CA7600"/>
    <w:rsid w:val="00CA773D"/>
    <w:rsid w:val="00CA774C"/>
    <w:rsid w:val="00CB071F"/>
    <w:rsid w:val="00CB0C3B"/>
    <w:rsid w:val="00CB17BC"/>
    <w:rsid w:val="00CB3706"/>
    <w:rsid w:val="00CB4D80"/>
    <w:rsid w:val="00CB56AF"/>
    <w:rsid w:val="00CB6514"/>
    <w:rsid w:val="00CB6BB1"/>
    <w:rsid w:val="00CB74D9"/>
    <w:rsid w:val="00CB76AC"/>
    <w:rsid w:val="00CB76B8"/>
    <w:rsid w:val="00CB7C7F"/>
    <w:rsid w:val="00CC0214"/>
    <w:rsid w:val="00CC02DF"/>
    <w:rsid w:val="00CC12FB"/>
    <w:rsid w:val="00CC143E"/>
    <w:rsid w:val="00CC1AD9"/>
    <w:rsid w:val="00CC4F5E"/>
    <w:rsid w:val="00CC5832"/>
    <w:rsid w:val="00CC59C0"/>
    <w:rsid w:val="00CC74F9"/>
    <w:rsid w:val="00CD05C5"/>
    <w:rsid w:val="00CD0F52"/>
    <w:rsid w:val="00CD3187"/>
    <w:rsid w:val="00CD4635"/>
    <w:rsid w:val="00CD4874"/>
    <w:rsid w:val="00CD5136"/>
    <w:rsid w:val="00CD560E"/>
    <w:rsid w:val="00CD6222"/>
    <w:rsid w:val="00CD631F"/>
    <w:rsid w:val="00CD64E5"/>
    <w:rsid w:val="00CD730D"/>
    <w:rsid w:val="00CD76CA"/>
    <w:rsid w:val="00CD7E7E"/>
    <w:rsid w:val="00CE0195"/>
    <w:rsid w:val="00CE0256"/>
    <w:rsid w:val="00CE086A"/>
    <w:rsid w:val="00CE1435"/>
    <w:rsid w:val="00CE1930"/>
    <w:rsid w:val="00CE1B46"/>
    <w:rsid w:val="00CE1B9E"/>
    <w:rsid w:val="00CE2CFF"/>
    <w:rsid w:val="00CE2F22"/>
    <w:rsid w:val="00CE310B"/>
    <w:rsid w:val="00CE3189"/>
    <w:rsid w:val="00CE39E6"/>
    <w:rsid w:val="00CE4590"/>
    <w:rsid w:val="00CE5102"/>
    <w:rsid w:val="00CE67C7"/>
    <w:rsid w:val="00CE7084"/>
    <w:rsid w:val="00CE7DEC"/>
    <w:rsid w:val="00CF0AE8"/>
    <w:rsid w:val="00CF118F"/>
    <w:rsid w:val="00CF131C"/>
    <w:rsid w:val="00CF2399"/>
    <w:rsid w:val="00CF2C63"/>
    <w:rsid w:val="00CF2D90"/>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26ED"/>
    <w:rsid w:val="00D248BC"/>
    <w:rsid w:val="00D25170"/>
    <w:rsid w:val="00D25415"/>
    <w:rsid w:val="00D25461"/>
    <w:rsid w:val="00D26521"/>
    <w:rsid w:val="00D27058"/>
    <w:rsid w:val="00D27A63"/>
    <w:rsid w:val="00D3004D"/>
    <w:rsid w:val="00D30381"/>
    <w:rsid w:val="00D3080F"/>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6AB"/>
    <w:rsid w:val="00D41C11"/>
    <w:rsid w:val="00D4353F"/>
    <w:rsid w:val="00D4392E"/>
    <w:rsid w:val="00D43F5F"/>
    <w:rsid w:val="00D445AC"/>
    <w:rsid w:val="00D44846"/>
    <w:rsid w:val="00D44D82"/>
    <w:rsid w:val="00D44F44"/>
    <w:rsid w:val="00D456FD"/>
    <w:rsid w:val="00D45F6E"/>
    <w:rsid w:val="00D4628D"/>
    <w:rsid w:val="00D462DD"/>
    <w:rsid w:val="00D46724"/>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89F"/>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C71"/>
    <w:rsid w:val="00D7658A"/>
    <w:rsid w:val="00D7681C"/>
    <w:rsid w:val="00D76CD9"/>
    <w:rsid w:val="00D77925"/>
    <w:rsid w:val="00D8041A"/>
    <w:rsid w:val="00D80A65"/>
    <w:rsid w:val="00D80B82"/>
    <w:rsid w:val="00D81B35"/>
    <w:rsid w:val="00D829ED"/>
    <w:rsid w:val="00D8394D"/>
    <w:rsid w:val="00D83C1E"/>
    <w:rsid w:val="00D8460E"/>
    <w:rsid w:val="00D848EE"/>
    <w:rsid w:val="00D84980"/>
    <w:rsid w:val="00D84F00"/>
    <w:rsid w:val="00D856DB"/>
    <w:rsid w:val="00D85943"/>
    <w:rsid w:val="00D85ACA"/>
    <w:rsid w:val="00D85FE4"/>
    <w:rsid w:val="00D862F4"/>
    <w:rsid w:val="00D868A3"/>
    <w:rsid w:val="00D86959"/>
    <w:rsid w:val="00D86BF5"/>
    <w:rsid w:val="00D86E13"/>
    <w:rsid w:val="00D90C7A"/>
    <w:rsid w:val="00D91317"/>
    <w:rsid w:val="00D9149C"/>
    <w:rsid w:val="00D914EB"/>
    <w:rsid w:val="00D919D5"/>
    <w:rsid w:val="00D91DEA"/>
    <w:rsid w:val="00D91F77"/>
    <w:rsid w:val="00D930AF"/>
    <w:rsid w:val="00D9338C"/>
    <w:rsid w:val="00D936C6"/>
    <w:rsid w:val="00D93A96"/>
    <w:rsid w:val="00D947AC"/>
    <w:rsid w:val="00D94AD8"/>
    <w:rsid w:val="00D95106"/>
    <w:rsid w:val="00D95440"/>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E5E"/>
    <w:rsid w:val="00DA6D70"/>
    <w:rsid w:val="00DA74C8"/>
    <w:rsid w:val="00DA7976"/>
    <w:rsid w:val="00DB05FF"/>
    <w:rsid w:val="00DB0EE4"/>
    <w:rsid w:val="00DB1554"/>
    <w:rsid w:val="00DB1BD0"/>
    <w:rsid w:val="00DB38B3"/>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D93"/>
    <w:rsid w:val="00DC720E"/>
    <w:rsid w:val="00DC746B"/>
    <w:rsid w:val="00DC7579"/>
    <w:rsid w:val="00DC78E2"/>
    <w:rsid w:val="00DD019C"/>
    <w:rsid w:val="00DD21E8"/>
    <w:rsid w:val="00DD2382"/>
    <w:rsid w:val="00DD3D7E"/>
    <w:rsid w:val="00DD4195"/>
    <w:rsid w:val="00DD46C9"/>
    <w:rsid w:val="00DD4E40"/>
    <w:rsid w:val="00DD62F7"/>
    <w:rsid w:val="00DD6D0F"/>
    <w:rsid w:val="00DE0554"/>
    <w:rsid w:val="00DE0581"/>
    <w:rsid w:val="00DE08C3"/>
    <w:rsid w:val="00DE1D6D"/>
    <w:rsid w:val="00DE1F1A"/>
    <w:rsid w:val="00DE3090"/>
    <w:rsid w:val="00DE33D0"/>
    <w:rsid w:val="00DE3C38"/>
    <w:rsid w:val="00DE43F6"/>
    <w:rsid w:val="00DE48FE"/>
    <w:rsid w:val="00DE4C27"/>
    <w:rsid w:val="00DF0814"/>
    <w:rsid w:val="00DF09A8"/>
    <w:rsid w:val="00DF0B44"/>
    <w:rsid w:val="00DF0C79"/>
    <w:rsid w:val="00DF0C7C"/>
    <w:rsid w:val="00DF1AD7"/>
    <w:rsid w:val="00DF1CB0"/>
    <w:rsid w:val="00DF2927"/>
    <w:rsid w:val="00DF2D10"/>
    <w:rsid w:val="00DF3995"/>
    <w:rsid w:val="00DF41A4"/>
    <w:rsid w:val="00DF4880"/>
    <w:rsid w:val="00DF4AA4"/>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3D90"/>
    <w:rsid w:val="00E0474A"/>
    <w:rsid w:val="00E0546F"/>
    <w:rsid w:val="00E05A79"/>
    <w:rsid w:val="00E070CC"/>
    <w:rsid w:val="00E079C9"/>
    <w:rsid w:val="00E10883"/>
    <w:rsid w:val="00E10A3B"/>
    <w:rsid w:val="00E11B6E"/>
    <w:rsid w:val="00E12143"/>
    <w:rsid w:val="00E123E1"/>
    <w:rsid w:val="00E127D3"/>
    <w:rsid w:val="00E139B8"/>
    <w:rsid w:val="00E13C30"/>
    <w:rsid w:val="00E14619"/>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27ED"/>
    <w:rsid w:val="00E23B9B"/>
    <w:rsid w:val="00E241A2"/>
    <w:rsid w:val="00E25050"/>
    <w:rsid w:val="00E26542"/>
    <w:rsid w:val="00E265DF"/>
    <w:rsid w:val="00E269E5"/>
    <w:rsid w:val="00E2700C"/>
    <w:rsid w:val="00E273FA"/>
    <w:rsid w:val="00E307CA"/>
    <w:rsid w:val="00E30871"/>
    <w:rsid w:val="00E30C7E"/>
    <w:rsid w:val="00E30CF9"/>
    <w:rsid w:val="00E31A86"/>
    <w:rsid w:val="00E31F20"/>
    <w:rsid w:val="00E3290D"/>
    <w:rsid w:val="00E3313D"/>
    <w:rsid w:val="00E33859"/>
    <w:rsid w:val="00E33AEC"/>
    <w:rsid w:val="00E35A1A"/>
    <w:rsid w:val="00E360A1"/>
    <w:rsid w:val="00E3671F"/>
    <w:rsid w:val="00E37485"/>
    <w:rsid w:val="00E40B98"/>
    <w:rsid w:val="00E40CD5"/>
    <w:rsid w:val="00E40D8F"/>
    <w:rsid w:val="00E441C2"/>
    <w:rsid w:val="00E4438A"/>
    <w:rsid w:val="00E449E7"/>
    <w:rsid w:val="00E45339"/>
    <w:rsid w:val="00E4684E"/>
    <w:rsid w:val="00E46F0E"/>
    <w:rsid w:val="00E476C2"/>
    <w:rsid w:val="00E47AE7"/>
    <w:rsid w:val="00E47D4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7078C"/>
    <w:rsid w:val="00E715C0"/>
    <w:rsid w:val="00E71C46"/>
    <w:rsid w:val="00E71C54"/>
    <w:rsid w:val="00E71EE3"/>
    <w:rsid w:val="00E7385D"/>
    <w:rsid w:val="00E73AD7"/>
    <w:rsid w:val="00E752DE"/>
    <w:rsid w:val="00E75F55"/>
    <w:rsid w:val="00E76A74"/>
    <w:rsid w:val="00E777C1"/>
    <w:rsid w:val="00E80292"/>
    <w:rsid w:val="00E809A6"/>
    <w:rsid w:val="00E80DE2"/>
    <w:rsid w:val="00E81386"/>
    <w:rsid w:val="00E81429"/>
    <w:rsid w:val="00E81636"/>
    <w:rsid w:val="00E81838"/>
    <w:rsid w:val="00E81F49"/>
    <w:rsid w:val="00E826E3"/>
    <w:rsid w:val="00E82902"/>
    <w:rsid w:val="00E82E0F"/>
    <w:rsid w:val="00E8366E"/>
    <w:rsid w:val="00E838DF"/>
    <w:rsid w:val="00E83FD2"/>
    <w:rsid w:val="00E84BE9"/>
    <w:rsid w:val="00E853CA"/>
    <w:rsid w:val="00E85800"/>
    <w:rsid w:val="00E85A18"/>
    <w:rsid w:val="00E8654A"/>
    <w:rsid w:val="00E87BFE"/>
    <w:rsid w:val="00E9055D"/>
    <w:rsid w:val="00E91080"/>
    <w:rsid w:val="00E91A69"/>
    <w:rsid w:val="00E91F5C"/>
    <w:rsid w:val="00E92742"/>
    <w:rsid w:val="00E9282D"/>
    <w:rsid w:val="00E9352A"/>
    <w:rsid w:val="00E9454B"/>
    <w:rsid w:val="00E95D65"/>
    <w:rsid w:val="00E96473"/>
    <w:rsid w:val="00E96FDA"/>
    <w:rsid w:val="00E971D9"/>
    <w:rsid w:val="00E978C7"/>
    <w:rsid w:val="00EA0AAE"/>
    <w:rsid w:val="00EA0AC5"/>
    <w:rsid w:val="00EA0E43"/>
    <w:rsid w:val="00EA15E3"/>
    <w:rsid w:val="00EA1D1D"/>
    <w:rsid w:val="00EA22AC"/>
    <w:rsid w:val="00EA2461"/>
    <w:rsid w:val="00EA2611"/>
    <w:rsid w:val="00EA2984"/>
    <w:rsid w:val="00EA32DA"/>
    <w:rsid w:val="00EA3B3D"/>
    <w:rsid w:val="00EA5A8C"/>
    <w:rsid w:val="00EA6866"/>
    <w:rsid w:val="00EA6957"/>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E000E"/>
    <w:rsid w:val="00EE02B6"/>
    <w:rsid w:val="00EE1F02"/>
    <w:rsid w:val="00EE1FEC"/>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B69"/>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252"/>
    <w:rsid w:val="00F16612"/>
    <w:rsid w:val="00F1677D"/>
    <w:rsid w:val="00F17093"/>
    <w:rsid w:val="00F1744E"/>
    <w:rsid w:val="00F17633"/>
    <w:rsid w:val="00F20867"/>
    <w:rsid w:val="00F20B18"/>
    <w:rsid w:val="00F20C09"/>
    <w:rsid w:val="00F20C8A"/>
    <w:rsid w:val="00F2227A"/>
    <w:rsid w:val="00F22526"/>
    <w:rsid w:val="00F2407E"/>
    <w:rsid w:val="00F24113"/>
    <w:rsid w:val="00F2430D"/>
    <w:rsid w:val="00F25361"/>
    <w:rsid w:val="00F25AFE"/>
    <w:rsid w:val="00F26520"/>
    <w:rsid w:val="00F27076"/>
    <w:rsid w:val="00F271EE"/>
    <w:rsid w:val="00F301F9"/>
    <w:rsid w:val="00F30E30"/>
    <w:rsid w:val="00F31051"/>
    <w:rsid w:val="00F31C2C"/>
    <w:rsid w:val="00F34038"/>
    <w:rsid w:val="00F34470"/>
    <w:rsid w:val="00F3476A"/>
    <w:rsid w:val="00F34872"/>
    <w:rsid w:val="00F3754F"/>
    <w:rsid w:val="00F37796"/>
    <w:rsid w:val="00F40B28"/>
    <w:rsid w:val="00F40C69"/>
    <w:rsid w:val="00F41D4E"/>
    <w:rsid w:val="00F4212A"/>
    <w:rsid w:val="00F4249E"/>
    <w:rsid w:val="00F42800"/>
    <w:rsid w:val="00F4380A"/>
    <w:rsid w:val="00F440C2"/>
    <w:rsid w:val="00F44132"/>
    <w:rsid w:val="00F4423E"/>
    <w:rsid w:val="00F456C8"/>
    <w:rsid w:val="00F45BED"/>
    <w:rsid w:val="00F45DD9"/>
    <w:rsid w:val="00F4732F"/>
    <w:rsid w:val="00F47F71"/>
    <w:rsid w:val="00F50402"/>
    <w:rsid w:val="00F50822"/>
    <w:rsid w:val="00F5106E"/>
    <w:rsid w:val="00F511B7"/>
    <w:rsid w:val="00F51E6D"/>
    <w:rsid w:val="00F522D7"/>
    <w:rsid w:val="00F524E0"/>
    <w:rsid w:val="00F52F17"/>
    <w:rsid w:val="00F53489"/>
    <w:rsid w:val="00F536E9"/>
    <w:rsid w:val="00F540B0"/>
    <w:rsid w:val="00F552F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DA3"/>
    <w:rsid w:val="00F9441F"/>
    <w:rsid w:val="00F94D8B"/>
    <w:rsid w:val="00F95718"/>
    <w:rsid w:val="00F95952"/>
    <w:rsid w:val="00F95E64"/>
    <w:rsid w:val="00F95F99"/>
    <w:rsid w:val="00F9635F"/>
    <w:rsid w:val="00F9735A"/>
    <w:rsid w:val="00F97F48"/>
    <w:rsid w:val="00FA041C"/>
    <w:rsid w:val="00FA0C62"/>
    <w:rsid w:val="00FA1FB1"/>
    <w:rsid w:val="00FA2056"/>
    <w:rsid w:val="00FA208E"/>
    <w:rsid w:val="00FA30AE"/>
    <w:rsid w:val="00FA36BC"/>
    <w:rsid w:val="00FA3832"/>
    <w:rsid w:val="00FA3843"/>
    <w:rsid w:val="00FA3A5A"/>
    <w:rsid w:val="00FA3B39"/>
    <w:rsid w:val="00FA4845"/>
    <w:rsid w:val="00FA4DE2"/>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3C4"/>
    <w:rsid w:val="00FB46C9"/>
    <w:rsid w:val="00FB488C"/>
    <w:rsid w:val="00FB5529"/>
    <w:rsid w:val="00FB5ABF"/>
    <w:rsid w:val="00FB618D"/>
    <w:rsid w:val="00FB69DC"/>
    <w:rsid w:val="00FB7639"/>
    <w:rsid w:val="00FB7927"/>
    <w:rsid w:val="00FC0507"/>
    <w:rsid w:val="00FC0B0D"/>
    <w:rsid w:val="00FC0E0B"/>
    <w:rsid w:val="00FC11EC"/>
    <w:rsid w:val="00FC2319"/>
    <w:rsid w:val="00FC2693"/>
    <w:rsid w:val="00FC34F5"/>
    <w:rsid w:val="00FC3F71"/>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66E7"/>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0AE7"/>
    <w:rsid w:val="00FF1926"/>
    <w:rsid w:val="00FF1D54"/>
    <w:rsid w:val="00FF1ED1"/>
    <w:rsid w:val="00FF241C"/>
    <w:rsid w:val="00FF2A9F"/>
    <w:rsid w:val="00FF39A6"/>
    <w:rsid w:val="00FF40EA"/>
    <w:rsid w:val="00FF45A9"/>
    <w:rsid w:val="00FF57B0"/>
    <w:rsid w:val="00FF5AEC"/>
    <w:rsid w:val="00FF72C9"/>
    <w:rsid w:val="00FF72CD"/>
    <w:rsid w:val="3EBF7496"/>
    <w:rsid w:val="6F7B2542"/>
    <w:rsid w:val="7491F761"/>
    <w:rsid w:val="7FDFAB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2568B53-F73E-43E9-83DE-BE9D3319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uiPriority="0"/>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7D6C"/>
    <w:pPr>
      <w:snapToGrid w:val="0"/>
      <w:spacing w:after="100" w:afterAutospacing="1"/>
      <w:jc w:val="both"/>
    </w:pPr>
    <w:rPr>
      <w:rFonts w:ascii="Times New Roman" w:eastAsia="ＭＳ ゴシック" w:hAnsi="Times New Roman" w:cs="Times New Roman"/>
      <w:sz w:val="24"/>
      <w:lang w:val="en-GB"/>
    </w:rPr>
  </w:style>
  <w:style w:type="paragraph" w:styleId="10">
    <w:name w:val="heading 1"/>
    <w:basedOn w:val="a"/>
    <w:next w:val="a"/>
    <w:link w:val="11"/>
    <w:uiPriority w:val="9"/>
    <w:qFormat/>
    <w:pPr>
      <w:keepNext/>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spacing w:before="240"/>
      <w:jc w:val="left"/>
      <w:outlineLvl w:val="1"/>
    </w:pPr>
    <w:rPr>
      <w:rFonts w:eastAsia="ＭＳ 明朝"/>
      <w:b/>
      <w:szCs w:val="24"/>
      <w:lang w:val="en-US"/>
    </w:rPr>
  </w:style>
  <w:style w:type="paragraph" w:styleId="30">
    <w:name w:val="heading 3"/>
    <w:basedOn w:val="a"/>
    <w:next w:val="a"/>
    <w:link w:val="31"/>
    <w:uiPriority w:val="9"/>
    <w:qFormat/>
    <w:pPr>
      <w:keepNext/>
      <w:spacing w:before="240"/>
      <w:outlineLvl w:val="2"/>
    </w:pPr>
    <w:rPr>
      <w:rFonts w:ascii="Arial" w:hAnsi="Arial"/>
      <w:b/>
    </w:rPr>
  </w:style>
  <w:style w:type="paragraph" w:styleId="40">
    <w:name w:val="heading 4"/>
    <w:basedOn w:val="a"/>
    <w:next w:val="a"/>
    <w:link w:val="41"/>
    <w:uiPriority w:val="9"/>
    <w:qFormat/>
    <w:pPr>
      <w:keepNext/>
      <w:jc w:val="right"/>
      <w:outlineLvl w:val="3"/>
    </w:pPr>
    <w:rPr>
      <w:rFonts w:ascii="Arial" w:hAnsi="Arial"/>
      <w:i/>
    </w:rPr>
  </w:style>
  <w:style w:type="paragraph" w:styleId="5">
    <w:name w:val="heading 5"/>
    <w:basedOn w:val="40"/>
    <w:next w:val="a"/>
    <w:link w:val="50"/>
    <w:uiPriority w:val="9"/>
    <w:qFormat/>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uiPriority w:val="99"/>
    <w:semiHidden/>
    <w:qFormat/>
    <w:rPr>
      <w:sz w:val="18"/>
      <w:szCs w:val="18"/>
    </w:rPr>
  </w:style>
  <w:style w:type="paragraph" w:styleId="a5">
    <w:name w:val="Body Text"/>
    <w:basedOn w:val="a"/>
    <w:link w:val="a6"/>
    <w:uiPriority w:val="99"/>
    <w:qFormat/>
    <w:pPr>
      <w:snapToGrid/>
      <w:spacing w:after="120" w:afterAutospacing="0"/>
    </w:pPr>
    <w:rPr>
      <w:rFonts w:ascii="Century" w:eastAsia="ＭＳ 明朝" w:hAnsi="Century"/>
      <w:lang w:val="en-US" w:eastAsia="en-US"/>
    </w:rPr>
  </w:style>
  <w:style w:type="paragraph" w:styleId="22">
    <w:name w:val="Body Text 2"/>
    <w:basedOn w:val="a"/>
    <w:link w:val="23"/>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24">
    <w:name w:val="Body Text Indent 2"/>
    <w:basedOn w:val="a"/>
    <w:link w:val="25"/>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32">
    <w:name w:val="Body Text Indent 3"/>
    <w:basedOn w:val="a"/>
    <w:link w:val="33"/>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a7">
    <w:name w:val="caption"/>
    <w:basedOn w:val="a"/>
    <w:next w:val="a"/>
    <w:link w:val="a8"/>
    <w:qFormat/>
    <w:pPr>
      <w:spacing w:before="120" w:after="120"/>
    </w:pPr>
    <w:rPr>
      <w:b/>
    </w:rPr>
  </w:style>
  <w:style w:type="paragraph" w:styleId="a9">
    <w:name w:val="annotation text"/>
    <w:basedOn w:val="a"/>
    <w:link w:val="aa"/>
    <w:uiPriority w:val="99"/>
    <w:semiHidden/>
    <w:qFormat/>
    <w:pPr>
      <w:jc w:val="left"/>
    </w:pPr>
  </w:style>
  <w:style w:type="paragraph" w:styleId="ab">
    <w:name w:val="annotation subject"/>
    <w:basedOn w:val="a9"/>
    <w:next w:val="a9"/>
    <w:link w:val="ac"/>
    <w:uiPriority w:val="99"/>
    <w:semiHidden/>
    <w:qFormat/>
    <w:rPr>
      <w:b/>
      <w:bCs/>
    </w:rPr>
  </w:style>
  <w:style w:type="paragraph" w:styleId="ad">
    <w:name w:val="Date"/>
    <w:basedOn w:val="a"/>
    <w:next w:val="a"/>
    <w:link w:val="ae"/>
    <w:uiPriority w:val="99"/>
    <w:pPr>
      <w:overflowPunct w:val="0"/>
      <w:autoSpaceDE w:val="0"/>
      <w:autoSpaceDN w:val="0"/>
      <w:adjustRightInd w:val="0"/>
      <w:snapToGrid/>
      <w:spacing w:after="0" w:afterAutospacing="0"/>
      <w:textAlignment w:val="baseline"/>
    </w:pPr>
  </w:style>
  <w:style w:type="paragraph" w:styleId="af">
    <w:name w:val="Document Map"/>
    <w:basedOn w:val="a"/>
    <w:link w:val="af0"/>
    <w:uiPriority w:val="99"/>
    <w:semiHidden/>
    <w:qFormat/>
    <w:pPr>
      <w:shd w:val="clear" w:color="auto" w:fill="000080"/>
    </w:pPr>
    <w:rPr>
      <w:rFonts w:ascii="SimSun" w:eastAsia="SimSun"/>
      <w:sz w:val="18"/>
      <w:szCs w:val="18"/>
    </w:rPr>
  </w:style>
  <w:style w:type="paragraph" w:styleId="af1">
    <w:name w:val="footer"/>
    <w:basedOn w:val="a"/>
    <w:link w:val="af2"/>
    <w:uiPriority w:val="99"/>
    <w:qFormat/>
    <w:pPr>
      <w:tabs>
        <w:tab w:val="center" w:pos="4252"/>
        <w:tab w:val="right" w:pos="8504"/>
      </w:tabs>
    </w:pPr>
  </w:style>
  <w:style w:type="paragraph" w:styleId="af3">
    <w:name w:val="footnote text"/>
    <w:basedOn w:val="a"/>
    <w:link w:val="12"/>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
    <w:basedOn w:val="a"/>
    <w:link w:val="af5"/>
    <w:uiPriority w:val="99"/>
    <w:qFormat/>
    <w:pPr>
      <w:widowControl w:val="0"/>
    </w:pPr>
    <w:rPr>
      <w:rFonts w:ascii="Arial" w:eastAsia="ＭＳ 明朝" w:hAnsi="Arial"/>
      <w:b/>
      <w:sz w:val="18"/>
      <w:szCs w:val="22"/>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6">
    <w:name w:val="index 2"/>
    <w:basedOn w:val="13"/>
    <w:next w:val="a"/>
    <w:uiPriority w:val="99"/>
    <w:semiHidden/>
    <w:qFormat/>
    <w:pPr>
      <w:ind w:left="284"/>
    </w:p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7">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27">
    <w:name w:val="List 2"/>
    <w:basedOn w:val="af7"/>
    <w:uiPriority w:val="99"/>
    <w:qFormat/>
    <w:pPr>
      <w:ind w:left="851"/>
    </w:pPr>
  </w:style>
  <w:style w:type="paragraph" w:styleId="34">
    <w:name w:val="List 3"/>
    <w:basedOn w:val="27"/>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af8">
    <w:name w:val="List Bullet"/>
    <w:basedOn w:val="af7"/>
    <w:uiPriority w:val="99"/>
    <w:qFormat/>
  </w:style>
  <w:style w:type="paragraph" w:styleId="28">
    <w:name w:val="List Bullet 2"/>
    <w:basedOn w:val="af8"/>
    <w:uiPriority w:val="99"/>
    <w:qFormat/>
    <w:pPr>
      <w:ind w:left="851"/>
    </w:pPr>
  </w:style>
  <w:style w:type="paragraph" w:styleId="35">
    <w:name w:val="List Bullet 3"/>
    <w:basedOn w:val="28"/>
    <w:uiPriority w:val="99"/>
    <w:qFormat/>
    <w:pPr>
      <w:ind w:left="1135"/>
    </w:pPr>
  </w:style>
  <w:style w:type="paragraph" w:styleId="43">
    <w:name w:val="List Bullet 4"/>
    <w:basedOn w:val="35"/>
    <w:uiPriority w:val="99"/>
    <w:qFormat/>
    <w:pPr>
      <w:ind w:left="1418"/>
    </w:pPr>
  </w:style>
  <w:style w:type="paragraph" w:styleId="52">
    <w:name w:val="List Bullet 5"/>
    <w:basedOn w:val="43"/>
    <w:uiPriority w:val="99"/>
    <w:qFormat/>
    <w:pPr>
      <w:ind w:left="1702"/>
    </w:pPr>
  </w:style>
  <w:style w:type="paragraph" w:styleId="af9">
    <w:name w:val="List Number"/>
    <w:basedOn w:val="af7"/>
    <w:uiPriority w:val="99"/>
    <w:qFormat/>
  </w:style>
  <w:style w:type="paragraph" w:styleId="29">
    <w:name w:val="List Number 2"/>
    <w:basedOn w:val="af9"/>
    <w:uiPriority w:val="99"/>
    <w:qFormat/>
    <w:pPr>
      <w:ind w:left="851"/>
    </w:pPr>
  </w:style>
  <w:style w:type="paragraph" w:styleId="4">
    <w:name w:val="List Number 4"/>
    <w:basedOn w:val="a"/>
    <w:pPr>
      <w:numPr>
        <w:numId w:val="1"/>
      </w:numPr>
      <w:tabs>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styleId="Web">
    <w:name w:val="Normal (Web)"/>
    <w:basedOn w:val="a"/>
    <w:uiPriority w:val="99"/>
    <w:unhideWhenUsed/>
    <w:pPr>
      <w:snapToGrid/>
      <w:spacing w:before="100" w:beforeAutospacing="1"/>
      <w:jc w:val="left"/>
    </w:pPr>
    <w:rPr>
      <w:rFonts w:ascii="ＭＳ Ｐゴシック" w:eastAsia="ＭＳ Ｐゴシック" w:hAnsi="ＭＳ Ｐゴシック" w:cs="ＭＳ Ｐゴシック"/>
      <w:szCs w:val="24"/>
      <w:lang w:val="en-US"/>
    </w:rPr>
  </w:style>
  <w:style w:type="paragraph" w:styleId="afa">
    <w:name w:val="Plain Text"/>
    <w:basedOn w:val="a"/>
    <w:link w:val="afb"/>
    <w:uiPriority w:val="99"/>
    <w:unhideWhenUsed/>
    <w:qFormat/>
    <w:pPr>
      <w:snapToGrid/>
      <w:spacing w:after="0" w:afterAutospacing="0"/>
      <w:jc w:val="left"/>
    </w:pPr>
    <w:rPr>
      <w:rFonts w:ascii="ＭＳ ゴシック" w:hAnsi="ＭＳ ゴシック"/>
      <w:sz w:val="20"/>
    </w:rPr>
  </w:style>
  <w:style w:type="paragraph" w:styleId="14">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a">
    <w:name w:val="toc 2"/>
    <w:basedOn w:val="14"/>
    <w:next w:val="a"/>
    <w:uiPriority w:val="39"/>
    <w:semiHidden/>
    <w:qFormat/>
    <w:pPr>
      <w:keepNext w:val="0"/>
      <w:spacing w:before="0"/>
      <w:ind w:left="851" w:hanging="851"/>
    </w:pPr>
    <w:rPr>
      <w:sz w:val="20"/>
    </w:rPr>
  </w:style>
  <w:style w:type="paragraph" w:styleId="36">
    <w:name w:val="toc 3"/>
    <w:basedOn w:val="2a"/>
    <w:next w:val="a"/>
    <w:uiPriority w:val="39"/>
    <w:semiHidden/>
    <w:qFormat/>
    <w:pPr>
      <w:ind w:left="1134" w:hanging="1134"/>
    </w:pPr>
  </w:style>
  <w:style w:type="paragraph" w:styleId="44">
    <w:name w:val="toc 4"/>
    <w:basedOn w:val="36"/>
    <w:next w:val="a"/>
    <w:uiPriority w:val="39"/>
    <w:semiHidden/>
    <w:qFormat/>
    <w:pPr>
      <w:ind w:left="1418" w:hanging="1418"/>
    </w:pPr>
  </w:style>
  <w:style w:type="paragraph" w:styleId="53">
    <w:name w:val="toc 5"/>
    <w:basedOn w:val="44"/>
    <w:next w:val="a"/>
    <w:uiPriority w:val="39"/>
    <w:semiHidden/>
    <w:qFormat/>
    <w:pPr>
      <w:ind w:left="1701" w:hanging="1701"/>
    </w:pPr>
  </w:style>
  <w:style w:type="paragraph" w:styleId="61">
    <w:name w:val="toc 6"/>
    <w:basedOn w:val="53"/>
    <w:next w:val="a"/>
    <w:uiPriority w:val="39"/>
    <w:semiHidden/>
    <w:qFormat/>
    <w:pPr>
      <w:ind w:left="1985" w:hanging="1985"/>
    </w:pPr>
  </w:style>
  <w:style w:type="paragraph" w:styleId="71">
    <w:name w:val="toc 7"/>
    <w:basedOn w:val="61"/>
    <w:next w:val="a"/>
    <w:uiPriority w:val="39"/>
    <w:semiHidden/>
    <w:qFormat/>
    <w:pPr>
      <w:ind w:left="2268" w:hanging="2268"/>
    </w:pPr>
  </w:style>
  <w:style w:type="paragraph" w:styleId="81">
    <w:name w:val="toc 8"/>
    <w:basedOn w:val="14"/>
    <w:next w:val="a"/>
    <w:uiPriority w:val="39"/>
    <w:semiHidden/>
    <w:qFormat/>
    <w:pPr>
      <w:spacing w:before="180"/>
      <w:ind w:left="2693" w:hanging="2693"/>
    </w:pPr>
    <w:rPr>
      <w:b/>
    </w:rPr>
  </w:style>
  <w:style w:type="paragraph" w:styleId="91">
    <w:name w:val="toc 9"/>
    <w:basedOn w:val="81"/>
    <w:next w:val="a"/>
    <w:uiPriority w:val="39"/>
    <w:semiHidden/>
    <w:qFormat/>
    <w:pPr>
      <w:ind w:left="1418" w:hanging="1418"/>
    </w:pPr>
  </w:style>
  <w:style w:type="character" w:styleId="afc">
    <w:name w:val="annotation reference"/>
    <w:uiPriority w:val="99"/>
    <w:qFormat/>
    <w:rPr>
      <w:rFonts w:cs="Times New Roman"/>
      <w:sz w:val="18"/>
    </w:rPr>
  </w:style>
  <w:style w:type="character" w:styleId="afd">
    <w:name w:val="Emphasis"/>
    <w:qFormat/>
    <w:rPr>
      <w:rFonts w:cs="Times New Roman"/>
      <w:i/>
    </w:rPr>
  </w:style>
  <w:style w:type="character" w:styleId="afe">
    <w:name w:val="FollowedHyperlink"/>
    <w:uiPriority w:val="99"/>
    <w:qFormat/>
    <w:rPr>
      <w:rFonts w:cs="Times New Roman"/>
      <w:color w:val="800080"/>
      <w:u w:val="single"/>
    </w:rPr>
  </w:style>
  <w:style w:type="character" w:styleId="aff">
    <w:name w:val="footnote reference"/>
    <w:uiPriority w:val="99"/>
    <w:semiHidden/>
    <w:qFormat/>
    <w:rPr>
      <w:rFonts w:cs="Times New Roman"/>
      <w:b/>
      <w:position w:val="6"/>
      <w:sz w:val="16"/>
    </w:rPr>
  </w:style>
  <w:style w:type="character" w:styleId="aff0">
    <w:name w:val="Hyperlink"/>
    <w:uiPriority w:val="99"/>
    <w:qFormat/>
    <w:rPr>
      <w:rFonts w:cs="Times New Roman"/>
      <w:color w:val="0000FF"/>
      <w:u w:val="single"/>
    </w:rPr>
  </w:style>
  <w:style w:type="character" w:styleId="aff1">
    <w:name w:val="Strong"/>
    <w:uiPriority w:val="22"/>
    <w:qFormat/>
    <w:rPr>
      <w:rFonts w:cs="Times New Roman"/>
      <w:b/>
    </w:rPr>
  </w:style>
  <w:style w:type="table" w:styleId="aff2">
    <w:name w:val="Table Grid"/>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2">
    <w:name w:val="Table Grid 8"/>
    <w:basedOn w:val="a1"/>
    <w:uiPriority w:val="99"/>
    <w:qFormat/>
    <w:pPr>
      <w:snapToGrid w:val="0"/>
      <w:spacing w:after="100" w:afterAutospacing="1"/>
      <w:jc w:val="both"/>
    </w:pPr>
    <w:rPr>
      <w:rFonts w:ascii="Century" w:eastAsia="ＭＳ 明朝"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Table List 1"/>
    <w:basedOn w:val="a1"/>
    <w:uiPriority w:val="99"/>
    <w:qFormat/>
    <w:pPr>
      <w:snapToGrid w:val="0"/>
      <w:spacing w:after="100" w:afterAutospacing="1"/>
      <w:jc w:val="both"/>
    </w:pPr>
    <w:rPr>
      <w:rFonts w:ascii="Century" w:eastAsia="ＭＳ 明朝" w:hAnsi="Century" w:cs="Times New Roman"/>
    </w:r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5">
    <w:name w:val="Table List 4"/>
    <w:basedOn w:val="a1"/>
    <w:uiPriority w:val="99"/>
    <w:qFormat/>
    <w:pPr>
      <w:snapToGrid w:val="0"/>
      <w:spacing w:after="100" w:afterAutospacing="1"/>
      <w:jc w:val="both"/>
    </w:pPr>
    <w:rPr>
      <w:rFonts w:ascii="Century" w:eastAsia="ＭＳ 明朝" w:hAnsi="Century"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rPr>
      <w:rFonts w:ascii="Century" w:eastAsia="ＭＳ 明朝" w:hAnsi="Century"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16">
    <w:name w:val="Light Shading Accent 6"/>
    <w:basedOn w:val="a1"/>
    <w:uiPriority w:val="60"/>
    <w:qFormat/>
    <w:rPr>
      <w:rFonts w:ascii="Century" w:eastAsia="ＭＳ 明朝" w:hAnsi="Century" w:cs="Times New Roman"/>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rPr>
      <w:rFonts w:ascii="Century" w:eastAsia="ＭＳ 明朝" w:hAnsi="Century" w:cs="Times New Roman"/>
    </w:rPr>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1">
    <w:name w:val="見出し 1 (文字)"/>
    <w:basedOn w:val="a0"/>
    <w:link w:val="10"/>
    <w:uiPriority w:val="9"/>
    <w:qFormat/>
    <w:rPr>
      <w:rFonts w:ascii="Arial" w:eastAsia="ＭＳ ゴシック" w:hAnsi="Arial" w:cs="Times New Roman"/>
      <w:b/>
      <w:kern w:val="28"/>
      <w:sz w:val="32"/>
      <w:szCs w:val="20"/>
      <w:lang w:val="en-GB"/>
    </w:rPr>
  </w:style>
  <w:style w:type="character" w:customStyle="1" w:styleId="21">
    <w:name w:val="見出し 2 (文字)"/>
    <w:basedOn w:val="a0"/>
    <w:link w:val="20"/>
    <w:uiPriority w:val="9"/>
    <w:qFormat/>
    <w:rPr>
      <w:rFonts w:ascii="Times New Roman" w:eastAsia="ＭＳ 明朝" w:hAnsi="Times New Roman" w:cs="Times New Roman"/>
      <w:b/>
      <w:sz w:val="24"/>
      <w:szCs w:val="24"/>
    </w:rPr>
  </w:style>
  <w:style w:type="character" w:customStyle="1" w:styleId="31">
    <w:name w:val="見出し 3 (文字)"/>
    <w:basedOn w:val="a0"/>
    <w:link w:val="30"/>
    <w:qFormat/>
    <w:rPr>
      <w:rFonts w:ascii="Arial" w:eastAsia="ＭＳ ゴシック" w:hAnsi="Arial" w:cs="Times New Roman"/>
      <w:b/>
      <w:sz w:val="24"/>
      <w:szCs w:val="20"/>
      <w:lang w:val="en-GB"/>
    </w:rPr>
  </w:style>
  <w:style w:type="character" w:customStyle="1" w:styleId="41">
    <w:name w:val="見出し 4 (文字)"/>
    <w:basedOn w:val="a0"/>
    <w:link w:val="40"/>
    <w:uiPriority w:val="9"/>
    <w:qFormat/>
    <w:rPr>
      <w:rFonts w:ascii="Arial" w:eastAsia="ＭＳ ゴシック" w:hAnsi="Arial" w:cs="Times New Roman"/>
      <w:i/>
      <w:sz w:val="24"/>
      <w:szCs w:val="20"/>
      <w:lang w:val="en-GB"/>
    </w:rPr>
  </w:style>
  <w:style w:type="character" w:customStyle="1" w:styleId="50">
    <w:name w:val="見出し 5 (文字)"/>
    <w:basedOn w:val="a0"/>
    <w:link w:val="5"/>
    <w:uiPriority w:val="9"/>
    <w:qFormat/>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Pr>
      <w:rFonts w:ascii="Cambria" w:eastAsia="SimSun" w:hAnsi="Cambria" w:cs="Times New Roman"/>
      <w:sz w:val="24"/>
      <w:szCs w:val="24"/>
      <w:lang w:val="en-GB"/>
    </w:rPr>
  </w:style>
  <w:style w:type="character" w:customStyle="1" w:styleId="70">
    <w:name w:val="見出し 7 (文字)"/>
    <w:basedOn w:val="a0"/>
    <w:link w:val="7"/>
    <w:uiPriority w:val="9"/>
    <w:qFormat/>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qFormat/>
    <w:rPr>
      <w:rFonts w:ascii="Cambria" w:eastAsia="SimSun" w:hAnsi="Cambria" w:cs="Times New Roman"/>
      <w:sz w:val="24"/>
      <w:szCs w:val="24"/>
      <w:lang w:val="en-GB"/>
    </w:rPr>
  </w:style>
  <w:style w:type="character" w:customStyle="1" w:styleId="90">
    <w:name w:val="見出し 9 (文字)"/>
    <w:basedOn w:val="a0"/>
    <w:link w:val="9"/>
    <w:uiPriority w:val="9"/>
    <w:qFormat/>
    <w:rPr>
      <w:rFonts w:ascii="Cambria" w:eastAsia="SimSun" w:hAnsi="Cambria" w:cs="Times New Roman"/>
      <w:sz w:val="21"/>
      <w:szCs w:val="21"/>
      <w:lang w:val="en-GB"/>
    </w:rPr>
  </w:style>
  <w:style w:type="character" w:customStyle="1" w:styleId="af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4"/>
    <w:uiPriority w:val="99"/>
    <w:qFormat/>
    <w:locked/>
    <w:rPr>
      <w:rFonts w:ascii="Arial" w:eastAsia="ＭＳ 明朝" w:hAnsi="Arial" w:cs="Times New Roman"/>
      <w:b/>
      <w:sz w:val="18"/>
      <w:lang w:val="en-GB"/>
    </w:rPr>
  </w:style>
  <w:style w:type="character" w:customStyle="1" w:styleId="17">
    <w:name w:val="ヘッダー (文字)1"/>
    <w:basedOn w:val="a0"/>
    <w:uiPriority w:val="99"/>
    <w:semiHidden/>
    <w:qFormat/>
    <w:rPr>
      <w:rFonts w:ascii="Times New Roman" w:eastAsia="ＭＳ ゴシック" w:hAnsi="Times New Roman" w:cs="Times New Roman"/>
      <w:sz w:val="24"/>
      <w:szCs w:val="20"/>
      <w:lang w:val="en-GB"/>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a">
    <w:name w:val="コメント文字列 (文字)"/>
    <w:basedOn w:val="a0"/>
    <w:link w:val="a9"/>
    <w:uiPriority w:val="99"/>
    <w:qFormat/>
    <w:rPr>
      <w:rFonts w:ascii="Times New Roman" w:eastAsia="ＭＳ ゴシック" w:hAnsi="Times New Roman" w:cs="Times New Roman"/>
      <w:sz w:val="24"/>
      <w:szCs w:val="20"/>
      <w:lang w:val="en-GB"/>
    </w:rPr>
  </w:style>
  <w:style w:type="character" w:customStyle="1" w:styleId="ac">
    <w:name w:val="コメント内容 (文字)"/>
    <w:basedOn w:val="aa"/>
    <w:link w:val="ab"/>
    <w:uiPriority w:val="99"/>
    <w:semiHidden/>
    <w:qFormat/>
    <w:rPr>
      <w:rFonts w:ascii="Times New Roman" w:eastAsia="ＭＳ ゴシック" w:hAnsi="Times New Roman" w:cs="Times New Roman"/>
      <w:b/>
      <w:bCs/>
      <w:sz w:val="24"/>
      <w:szCs w:val="20"/>
      <w:lang w:val="en-GB"/>
    </w:rPr>
  </w:style>
  <w:style w:type="character" w:customStyle="1" w:styleId="a4">
    <w:name w:val="吹き出し (文字)"/>
    <w:basedOn w:val="a0"/>
    <w:link w:val="a3"/>
    <w:uiPriority w:val="99"/>
    <w:semiHidden/>
    <w:qFormat/>
    <w:rPr>
      <w:rFonts w:ascii="Times New Roman" w:eastAsia="ＭＳ ゴシック" w:hAnsi="Times New Roman" w:cs="Times New Roman"/>
      <w:sz w:val="18"/>
      <w:szCs w:val="18"/>
      <w:lang w:val="en-GB"/>
    </w:rPr>
  </w:style>
  <w:style w:type="character" w:customStyle="1" w:styleId="af2">
    <w:name w:val="フッター (文字)"/>
    <w:basedOn w:val="a0"/>
    <w:link w:val="af1"/>
    <w:uiPriority w:val="99"/>
    <w:qFormat/>
    <w:rPr>
      <w:rFonts w:ascii="Times New Roman" w:eastAsia="ＭＳ ゴシック" w:hAnsi="Times New Roman" w:cs="Times New Roman"/>
      <w:sz w:val="24"/>
      <w:szCs w:val="20"/>
      <w:lang w:val="en-GB"/>
    </w:rPr>
  </w:style>
  <w:style w:type="paragraph" w:customStyle="1" w:styleId="aff3">
    <w:name w:val="スタイル 数式"/>
    <w:basedOn w:val="a"/>
    <w:qFormat/>
    <w:pPr>
      <w:ind w:firstLine="720"/>
    </w:pPr>
    <w:rPr>
      <w:rFonts w:cs="ＭＳ 明朝"/>
    </w:rPr>
  </w:style>
  <w:style w:type="character" w:customStyle="1" w:styleId="a6">
    <w:name w:val="本文 (文字)"/>
    <w:basedOn w:val="a0"/>
    <w:link w:val="a5"/>
    <w:uiPriority w:val="99"/>
    <w:qFormat/>
    <w:rPr>
      <w:rFonts w:ascii="Century" w:eastAsia="ＭＳ 明朝" w:hAnsi="Century" w:cs="Times New Roman"/>
      <w:sz w:val="24"/>
      <w:szCs w:val="20"/>
      <w:lang w:eastAsia="en-US"/>
    </w:rPr>
  </w:style>
  <w:style w:type="paragraph" w:customStyle="1" w:styleId="18">
    <w:name w:val="引用文1"/>
    <w:basedOn w:val="a"/>
    <w:next w:val="a"/>
    <w:link w:val="aff4"/>
    <w:uiPriority w:val="29"/>
    <w:qFormat/>
    <w:rPr>
      <w:i/>
      <w:color w:val="000000"/>
    </w:rPr>
  </w:style>
  <w:style w:type="character" w:customStyle="1" w:styleId="aff4">
    <w:name w:val="引用文 (文字)"/>
    <w:basedOn w:val="a0"/>
    <w:link w:val="18"/>
    <w:uiPriority w:val="29"/>
    <w:qFormat/>
    <w:rPr>
      <w:rFonts w:ascii="Times New Roman" w:eastAsia="ＭＳ ゴシック" w:hAnsi="Times New Roman" w:cs="Times New Roman"/>
      <w:i/>
      <w:color w:val="000000"/>
      <w:sz w:val="24"/>
      <w:szCs w:val="20"/>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9">
    <w:name w:val="変更箇所1"/>
    <w:hidden/>
    <w:uiPriority w:val="99"/>
    <w:semiHidden/>
    <w:qFormat/>
    <w:rPr>
      <w:rFonts w:ascii="Times New Roman" w:eastAsia="ＭＳ ゴシック" w:hAnsi="Times New Roman" w:cs="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ＭＳ 明朝" w:hAnsi="Times New Roman" w:cs="Times New Roman"/>
      <w:kern w:val="2"/>
      <w:lang w:val="en-GB" w:eastAsia="zh-CN"/>
    </w:rPr>
  </w:style>
  <w:style w:type="paragraph" w:customStyle="1" w:styleId="aff5">
    <w:name w:val="図表"/>
    <w:basedOn w:val="a7"/>
    <w:link w:val="aff6"/>
    <w:qFormat/>
    <w:pPr>
      <w:jc w:val="center"/>
    </w:pPr>
  </w:style>
  <w:style w:type="character" w:customStyle="1" w:styleId="af0">
    <w:name w:val="見出しマップ (文字)"/>
    <w:basedOn w:val="a0"/>
    <w:link w:val="af"/>
    <w:uiPriority w:val="99"/>
    <w:semiHidden/>
    <w:qFormat/>
    <w:rPr>
      <w:rFonts w:ascii="SimSun" w:eastAsia="SimSun" w:hAnsi="Times New Roman" w:cs="Times New Roman"/>
      <w:sz w:val="18"/>
      <w:szCs w:val="18"/>
      <w:shd w:val="clear" w:color="auto" w:fill="000080"/>
      <w:lang w:val="en-GB"/>
    </w:rPr>
  </w:style>
  <w:style w:type="character" w:customStyle="1" w:styleId="a8">
    <w:name w:val="図表番号 (文字)"/>
    <w:link w:val="a7"/>
    <w:qFormat/>
    <w:locked/>
    <w:rPr>
      <w:rFonts w:ascii="Times New Roman" w:eastAsia="ＭＳ ゴシック" w:hAnsi="Times New Roman" w:cs="Times New Roman"/>
      <w:b/>
      <w:sz w:val="24"/>
      <w:szCs w:val="20"/>
      <w:lang w:val="en-GB"/>
    </w:rPr>
  </w:style>
  <w:style w:type="character" w:customStyle="1" w:styleId="aff6">
    <w:name w:val="図表 (文字)"/>
    <w:link w:val="aff5"/>
    <w:locked/>
    <w:rPr>
      <w:rFonts w:ascii="Times New Roman" w:eastAsia="ＭＳ ゴシック" w:hAnsi="Times New Roman" w:cs="Times New Roman"/>
      <w:b/>
      <w:sz w:val="24"/>
      <w:szCs w:val="20"/>
      <w:lang w:val="en-GB"/>
    </w:rPr>
  </w:style>
  <w:style w:type="table" w:customStyle="1" w:styleId="110">
    <w:name w:val="表 (モノトーン)  11"/>
    <w:basedOn w:val="a1"/>
    <w:uiPriority w:val="60"/>
    <w:qFormat/>
    <w:rPr>
      <w:rFonts w:ascii="Century" w:eastAsia="ＭＳ 明朝" w:hAnsi="Century" w:cs="Times New Roman"/>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b">
    <w:name w:val="書式なし (文字)"/>
    <w:basedOn w:val="a0"/>
    <w:link w:val="afa"/>
    <w:uiPriority w:val="99"/>
    <w:semiHidden/>
    <w:qFormat/>
    <w:rPr>
      <w:rFonts w:ascii="ＭＳ ゴシック" w:eastAsia="ＭＳ ゴシック" w:hAnsi="ＭＳ ゴシック" w:cs="Times New Roman"/>
      <w:sz w:val="20"/>
      <w:szCs w:val="20"/>
      <w:lang w:val="en-GB"/>
    </w:rPr>
  </w:style>
  <w:style w:type="character" w:customStyle="1" w:styleId="bullet0">
    <w:name w:val="bullet (文字)"/>
    <w:link w:val="bullet"/>
    <w:qFormat/>
    <w:locked/>
    <w:rPr>
      <w:rFonts w:ascii="Century" w:eastAsia="ＭＳ ゴシック" w:hAnsi="Century" w:cs="Times New Roman"/>
      <w:sz w:val="24"/>
      <w:szCs w:val="20"/>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sz w:val="32"/>
      <w:lang w:val="en-GB" w:eastAsia="en-GB"/>
    </w:rPr>
  </w:style>
  <w:style w:type="paragraph" w:customStyle="1" w:styleId="TT">
    <w:name w:val="TT"/>
    <w:basedOn w:val="10"/>
    <w:next w:val="a"/>
    <w:qFormat/>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customStyle="1" w:styleId="aff7">
    <w:name w:val="脚注文字列 (文字)"/>
    <w:basedOn w:val="a0"/>
    <w:uiPriority w:val="99"/>
    <w:semiHidden/>
    <w:qFormat/>
    <w:rPr>
      <w:rFonts w:ascii="Times New Roman" w:eastAsia="ＭＳ ゴシック" w:hAnsi="Times New Roman" w:cs="Times New Roman"/>
      <w:sz w:val="20"/>
      <w:szCs w:val="20"/>
      <w:lang w:val="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sz w:val="16"/>
      <w:lang w:val="en-GB" w:eastAsia="en-GB"/>
    </w:rPr>
  </w:style>
  <w:style w:type="character" w:customStyle="1" w:styleId="12">
    <w:name w:val="脚注文字列 (文字)1"/>
    <w:link w:val="af3"/>
    <w:uiPriority w:val="99"/>
    <w:semiHidden/>
    <w:qFormat/>
    <w:locked/>
    <w:rPr>
      <w:rFonts w:ascii="Times New Roman" w:eastAsia="ＭＳ ゴシック" w:hAnsi="Times New Roman" w:cs="Times New Roman"/>
      <w:sz w:val="24"/>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ＭＳ 明朝" w:hAnsi="Courier New" w:cs="Times New Roman"/>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7"/>
    <w:link w:val="B1Char1"/>
    <w:qFormat/>
    <w:rPr>
      <w:rFonts w:ascii="Century" w:hAnsi="Century"/>
    </w:rPr>
  </w:style>
  <w:style w:type="character" w:customStyle="1" w:styleId="B1Char1">
    <w:name w:val="B1 Char1"/>
    <w:link w:val="B1"/>
    <w:qFormat/>
    <w:locked/>
    <w:rPr>
      <w:rFonts w:ascii="Century" w:eastAsia="ＭＳ 明朝" w:hAnsi="Century" w:cs="Times New Roman"/>
      <w:sz w:val="20"/>
      <w:szCs w:val="20"/>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eastAsia="ＭＳ 明朝"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B2">
    <w:name w:val="B2"/>
    <w:basedOn w:val="27"/>
    <w:link w:val="B2Char"/>
    <w:qFormat/>
  </w:style>
  <w:style w:type="paragraph" w:customStyle="1" w:styleId="B3">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3">
    <w:name w:val="本文 2 (文字)"/>
    <w:basedOn w:val="a0"/>
    <w:link w:val="22"/>
    <w:uiPriority w:val="99"/>
    <w:qFormat/>
    <w:rPr>
      <w:rFonts w:ascii="Times New Roman" w:eastAsia="ＭＳ ゴシック" w:hAnsi="Times New Roman" w:cs="Times New Roman"/>
      <w:sz w:val="24"/>
      <w:szCs w:val="20"/>
      <w:lang w:val="en-GB"/>
    </w:rPr>
  </w:style>
  <w:style w:type="character" w:customStyle="1" w:styleId="25">
    <w:name w:val="本文インデント 2 (文字)"/>
    <w:basedOn w:val="a0"/>
    <w:link w:val="24"/>
    <w:uiPriority w:val="99"/>
    <w:qFormat/>
    <w:rPr>
      <w:rFonts w:ascii="Times New Roman" w:eastAsia="ＭＳ ゴシック" w:hAnsi="Times New Roman" w:cs="Times New Roman"/>
      <w:sz w:val="24"/>
      <w:szCs w:val="20"/>
      <w:lang w:val="en-GB"/>
    </w:rPr>
  </w:style>
  <w:style w:type="character" w:customStyle="1" w:styleId="33">
    <w:name w:val="本文インデント 3 (文字)"/>
    <w:basedOn w:val="a0"/>
    <w:link w:val="32"/>
    <w:uiPriority w:val="99"/>
    <w:qFormat/>
    <w:rPr>
      <w:rFonts w:ascii="Times New Roman" w:eastAsia="ＭＳ ゴシック" w:hAnsi="Times New Roman" w:cs="Times New Roman"/>
      <w:sz w:val="16"/>
      <w:szCs w:val="16"/>
      <w:lang w:val="en-GB"/>
    </w:rPr>
  </w:style>
  <w:style w:type="paragraph" w:customStyle="1" w:styleId="numberedlist">
    <w:name w:val="numbered list"/>
    <w:basedOn w:val="af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eastAsia="ＭＳ 明朝" w:hAnsi="Arial" w:cs="Times New Roman"/>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p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e">
    <w:name w:val="日付 (文字)"/>
    <w:basedOn w:val="a0"/>
    <w:link w:val="ad"/>
    <w:uiPriority w:val="99"/>
    <w:rPr>
      <w:rFonts w:ascii="Times New Roman" w:eastAsia="ＭＳ ゴシック" w:hAnsi="Times New Roman" w:cs="Times New Roman"/>
      <w:sz w:val="24"/>
      <w:szCs w:val="20"/>
      <w:lang w:val="en-GB"/>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pPr>
      <w:spacing w:after="120"/>
    </w:pPr>
    <w:rPr>
      <w:rFonts w:ascii="Arial" w:eastAsia="ＭＳ 明朝" w:hAnsi="Arial" w:cs="Times New Roman"/>
      <w:lang w:val="en-GB" w:eastAsia="en-US"/>
    </w:rPr>
  </w:style>
  <w:style w:type="paragraph" w:customStyle="1" w:styleId="Cell">
    <w:name w:val="Cell"/>
    <w:basedOn w:val="a"/>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Pr>
      <w:i/>
      <w:color w:val="0000FF"/>
      <w:lang w:val="en-GB"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rPr>
  </w:style>
  <w:style w:type="table" w:customStyle="1" w:styleId="1a">
    <w:name w:val="表 (格子)1"/>
    <w:basedOn w:val="a1"/>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rPr>
      <w:rFonts w:ascii="Times New Roman" w:hAnsi="Times New Roman"/>
      <w:sz w:val="20"/>
      <w:lang w:val="en-GB" w:eastAsia="ko-KR"/>
    </w:rPr>
  </w:style>
  <w:style w:type="character" w:customStyle="1" w:styleId="FigureCaption1">
    <w:name w:val="Figure Caption1"/>
    <w:rPr>
      <w:rFonts w:ascii="Arial" w:eastAsia="????" w:hAnsi="Arial"/>
      <w:color w:val="0000FF"/>
      <w:kern w:val="2"/>
      <w:lang w:val="en-US" w:eastAsia="en-US"/>
    </w:rPr>
  </w:style>
  <w:style w:type="paragraph" w:customStyle="1" w:styleId="tdoc-header">
    <w:name w:val="tdoc-header"/>
    <w:rPr>
      <w:rFonts w:ascii="Arial" w:eastAsia="ＭＳ 明朝" w:hAnsi="Arial" w:cs="Times New Roman"/>
      <w:sz w:val="24"/>
      <w:lang w:val="en-GB" w:eastAsia="en-US"/>
    </w:rPr>
  </w:style>
  <w:style w:type="character" w:customStyle="1" w:styleId="NOCar">
    <w:name w:val="NO Car"/>
    <w:link w:val="NO"/>
    <w:locked/>
    <w:rPr>
      <w:rFonts w:ascii="Times New Roman" w:eastAsia="ＭＳ 明朝" w:hAnsi="Times New Roman" w:cs="Times New Roman"/>
      <w:sz w:val="20"/>
      <w:szCs w:val="20"/>
      <w:lang w:val="en-GB" w:eastAsia="en-GB"/>
    </w:rPr>
  </w:style>
  <w:style w:type="paragraph" w:customStyle="1" w:styleId="1b">
    <w:name w:val="リスト段落1"/>
    <w:basedOn w:val="a"/>
    <w:link w:val="aff8"/>
    <w:uiPriority w:val="34"/>
    <w:qFormat/>
    <w:pPr>
      <w:ind w:firstLineChars="200" w:firstLine="420"/>
    </w:pPr>
  </w:style>
  <w:style w:type="character" w:customStyle="1" w:styleId="aff8">
    <w:name w:val="リスト段落 (文字)"/>
    <w:link w:val="1b"/>
    <w:uiPriority w:val="34"/>
    <w:qFormat/>
    <w:locked/>
    <w:rPr>
      <w:rFonts w:ascii="Times New Roman" w:eastAsia="ＭＳ ゴシック" w:hAnsi="Times New Roman" w:cs="Times New Roman"/>
      <w:sz w:val="24"/>
      <w:szCs w:val="20"/>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Pr>
      <w:rFonts w:ascii="Calibri" w:eastAsia="SimSun" w:hAnsi="Calibri" w:cs="Times New Roman"/>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SimSun" w:hAnsi="Times" w:cs="Times New Roman"/>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Pr>
      <w:rFonts w:ascii="Times" w:eastAsia="Batang" w:hAnsi="Times" w:cs="Times New Roman"/>
      <w:sz w:val="20"/>
      <w:szCs w:val="24"/>
      <w:lang w:val="en-GB" w:eastAsia="en-US"/>
    </w:rPr>
  </w:style>
  <w:style w:type="character" w:customStyle="1" w:styleId="1c">
    <w:name w:val="プレースホルダー テキスト1"/>
    <w:basedOn w:val="a0"/>
    <w:uiPriority w:val="99"/>
    <w:semiHidden/>
    <w:rPr>
      <w:color w:val="808080"/>
    </w:rPr>
  </w:style>
  <w:style w:type="paragraph" w:customStyle="1" w:styleId="1d">
    <w:name w:val="行間詰め1"/>
    <w:uiPriority w:val="1"/>
    <w:qFormat/>
    <w:pPr>
      <w:ind w:left="720" w:hanging="720"/>
    </w:pPr>
    <w:rPr>
      <w:rFonts w:ascii="Times" w:eastAsia="Batang" w:hAnsi="Times" w:cs="Times New Roman"/>
      <w:szCs w:val="24"/>
      <w:lang w:val="en-GB" w:eastAsia="en-US"/>
    </w:rPr>
  </w:style>
  <w:style w:type="character" w:customStyle="1" w:styleId="TACChar">
    <w:name w:val="TAC Char"/>
    <w:link w:val="TAC"/>
    <w:qFormat/>
    <w:rPr>
      <w:rFonts w:ascii="Arial" w:eastAsia="ＭＳ 明朝" w:hAnsi="Arial" w:cs="Times New Roman"/>
      <w:sz w:val="18"/>
      <w:szCs w:val="20"/>
      <w:lang w:val="en-GB" w:eastAsia="en-GB"/>
    </w:rPr>
  </w:style>
  <w:style w:type="character" w:customStyle="1" w:styleId="TAHCar">
    <w:name w:val="TAH Car"/>
    <w:link w:val="TAH"/>
    <w:qFormat/>
    <w:rPr>
      <w:rFonts w:ascii="Arial" w:eastAsia="ＭＳ 明朝" w:hAnsi="Arial" w:cs="Times New Roman"/>
      <w:b/>
      <w:sz w:val="18"/>
      <w:szCs w:val="20"/>
      <w:lang w:val="en-GB" w:eastAsia="en-GB"/>
    </w:rPr>
  </w:style>
  <w:style w:type="character" w:customStyle="1" w:styleId="B3Char">
    <w:name w:val="B3 Char"/>
    <w:link w:val="B3"/>
    <w:rPr>
      <w:rFonts w:ascii="Times New Roman" w:eastAsia="ＭＳ 明朝" w:hAnsi="Times New Roman" w:cs="Times New Roman"/>
      <w:sz w:val="20"/>
      <w:szCs w:val="20"/>
      <w:lang w:val="en-GB" w:eastAsia="en-GB"/>
    </w:rPr>
  </w:style>
  <w:style w:type="character" w:customStyle="1" w:styleId="B11">
    <w:name w:val="B1 (文字)"/>
    <w:qFormat/>
    <w:locked/>
    <w:rPr>
      <w:rFonts w:eastAsiaTheme="minorEastAsia"/>
      <w:lang w:val="en-GB" w:eastAsia="en-US"/>
    </w:rPr>
  </w:style>
  <w:style w:type="character" w:customStyle="1" w:styleId="B2Char">
    <w:name w:val="B2 Char"/>
    <w:link w:val="B2"/>
    <w:qFormat/>
    <w:rPr>
      <w:rFonts w:ascii="Times New Roman" w:eastAsia="ＭＳ 明朝" w:hAnsi="Times New Roman" w:cs="Times New Roman"/>
      <w:sz w:val="20"/>
      <w:szCs w:val="20"/>
      <w:lang w:val="en-GB" w:eastAsia="en-GB"/>
    </w:rPr>
  </w:style>
  <w:style w:type="paragraph" w:customStyle="1" w:styleId="RAN1bullet1">
    <w:name w:val="RAN1 bullet1"/>
    <w:basedOn w:val="a"/>
    <w:qFormat/>
    <w:pPr>
      <w:numPr>
        <w:numId w:val="12"/>
      </w:numPr>
      <w:snapToGrid/>
      <w:spacing w:after="0" w:afterAutospacing="0"/>
      <w:jc w:val="left"/>
    </w:pPr>
    <w:rPr>
      <w:rFonts w:ascii="Times" w:eastAsia="Batang" w:hAnsi="Times"/>
      <w:sz w:val="20"/>
      <w:szCs w:val="24"/>
      <w:lang w:eastAsia="zh-CN"/>
    </w:rPr>
  </w:style>
  <w:style w:type="character" w:customStyle="1" w:styleId="B1Char">
    <w:name w:val="B1 Char"/>
    <w:rPr>
      <w:lang w:val="en-GB"/>
    </w:rPr>
  </w:style>
  <w:style w:type="paragraph" w:customStyle="1" w:styleId="xmsonormal">
    <w:name w:val="xmsonormal"/>
    <w:basedOn w:val="a"/>
    <w:pPr>
      <w:snapToGrid/>
      <w:spacing w:after="0" w:afterAutospacing="0"/>
      <w:jc w:val="left"/>
    </w:pPr>
    <w:rPr>
      <w:rFonts w:ascii="SimSun" w:eastAsia="SimSun" w:hAnsi="SimSun" w:cs="SimSun"/>
      <w:szCs w:val="22"/>
      <w:lang w:val="en-US" w:eastAsia="zh-CN"/>
    </w:rPr>
  </w:style>
  <w:style w:type="character" w:customStyle="1" w:styleId="1e">
    <w:name w:val="リスト段落 (文字)1"/>
    <w:uiPriority w:val="34"/>
    <w:qFormat/>
    <w:rPr>
      <w:rFonts w:ascii="Times" w:hAnsi="Times"/>
      <w:szCs w:val="24"/>
      <w:lang w:val="en-GB"/>
    </w:rPr>
  </w:style>
  <w:style w:type="character" w:customStyle="1" w:styleId="apple-converted-space">
    <w:name w:val="apple-converted-space"/>
    <w:basedOn w:val="a0"/>
    <w:qFormat/>
  </w:style>
  <w:style w:type="paragraph" w:styleId="aff9">
    <w:name w:val="List Paragraph"/>
    <w:basedOn w:val="a"/>
    <w:uiPriority w:val="99"/>
    <w:rsid w:val="001632D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1759</Words>
  <Characters>10030</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Huifa (Sharp)</dc:creator>
  <cp:lastModifiedBy>Huifa (Sharp)</cp:lastModifiedBy>
  <cp:revision>12</cp:revision>
  <dcterms:created xsi:type="dcterms:W3CDTF">2021-04-01T08:12:00Z</dcterms:created>
  <dcterms:modified xsi:type="dcterms:W3CDTF">2021-04-06T01:51:00Z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1033-3.3.1.5149</vt:lpwstr>
  </property>
</Properties>
</file>